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200" w:line="276" w:lineRule="auto"/>
        <w:rPr>
          <w:rFonts w:ascii="Times New Roman" w:hAnsi="Times New Roman" w:cs="Times New Roman"/>
          <w:b/>
          <w:sz w:val="24"/>
          <w:lang w:eastAsia="ru-RU"/>
        </w:rPr>
        <w:outlineLvl w:val="0"/>
      </w:pPr>
      <w:r/>
      <w:bookmarkStart w:id="0" w:name="_Toc889172"/>
      <w:r/>
      <w:bookmarkStart w:id="1" w:name="_Toc27146053"/>
      <w:r/>
      <w:r>
        <w:rPr>
          <w:rFonts w:ascii="Times New Roman" w:hAnsi="Times New Roman" w:cs="Times New Roman"/>
          <w:b/>
          <w:sz w:val="24"/>
          <w:lang w:eastAsia="ru-RU"/>
        </w:rPr>
      </w:r>
    </w:p>
    <w:p>
      <w:pPr>
        <w:jc w:val="center"/>
        <w:spacing w:after="200" w:line="276" w:lineRule="auto"/>
        <w:rPr>
          <w:rFonts w:ascii="Times New Roman" w:hAnsi="Times New Roman" w:cs="Times New Roman"/>
          <w:b/>
          <w:sz w:val="24"/>
          <w:lang w:eastAsia="ru-RU"/>
        </w:rPr>
        <w:outlineLvl w:val="0"/>
      </w:pPr>
      <w:r>
        <w:rPr>
          <w:rFonts w:ascii="Times New Roman" w:hAnsi="Times New Roman" w:cs="Times New Roman"/>
          <w:b/>
          <w:sz w:val="24"/>
          <w:lang w:eastAsia="ru-RU"/>
        </w:rPr>
        <w:t xml:space="preserve">ПОЛИТИКА</w:t>
      </w:r>
      <w:r>
        <w:rPr>
          <w:rFonts w:ascii="Times New Roman" w:hAnsi="Times New Roman" w:cs="Times New Roman"/>
          <w:b/>
          <w:sz w:val="24"/>
          <w:lang w:eastAsia="ru-RU"/>
        </w:rPr>
      </w:r>
    </w:p>
    <w:p>
      <w:pPr>
        <w:jc w:val="center"/>
        <w:spacing w:after="200" w:line="276" w:lineRule="auto"/>
        <w:rPr>
          <w:rFonts w:ascii="Times New Roman" w:hAnsi="Times New Roman" w:cs="Times New Roman"/>
          <w:b/>
          <w:sz w:val="24"/>
          <w:lang w:eastAsia="ru-RU"/>
        </w:rPr>
      </w:pPr>
      <w:r>
        <w:rPr>
          <w:rFonts w:ascii="Times New Roman" w:hAnsi="Times New Roman" w:cs="Times New Roman"/>
          <w:b/>
          <w:sz w:val="24"/>
          <w:lang w:eastAsia="ru-RU"/>
        </w:rPr>
        <w:t xml:space="preserve">ОБРАБОТКИ И ЗАЩИТЫ ПЕРСОНАЛЬНЫХ ДАННЫХ</w:t>
      </w:r>
      <w:bookmarkStart w:id="2" w:name="_GoBack"/>
      <w:r/>
      <w:bookmarkEnd w:id="2"/>
      <w:r>
        <w:rPr>
          <w:rFonts w:ascii="Times New Roman" w:hAnsi="Times New Roman" w:cs="Times New Roman"/>
          <w:b/>
          <w:sz w:val="24"/>
          <w:lang w:eastAsia="ru-RU"/>
        </w:rPr>
        <w:br/>
        <w:t xml:space="preserve">ООО «</w:t>
      </w:r>
      <w:r>
        <w:rPr>
          <w:rFonts w:ascii="Times New Roman" w:hAnsi="Times New Roman" w:cs="Times New Roman"/>
          <w:b/>
          <w:sz w:val="24"/>
          <w:lang w:eastAsia="ru-RU"/>
        </w:rPr>
        <w:t xml:space="preserve">МАЙОЛИ ФАРМА</w:t>
      </w:r>
      <w:r>
        <w:rPr>
          <w:rFonts w:ascii="Times New Roman" w:hAnsi="Times New Roman" w:cs="Times New Roman"/>
          <w:b/>
          <w:sz w:val="24"/>
          <w:lang w:eastAsia="ru-RU"/>
        </w:rPr>
        <w:t xml:space="preserve">»</w:t>
      </w:r>
      <w:r>
        <w:rPr>
          <w:rFonts w:ascii="Times New Roman" w:hAnsi="Times New Roman" w:cs="Times New Roman"/>
          <w:b/>
          <w:sz w:val="24"/>
          <w:lang w:eastAsia="ru-RU"/>
        </w:rPr>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______________________________</w:t>
      </w:r>
      <w:r>
        <w:rPr>
          <w:rFonts w:ascii="Times New Roman" w:hAnsi="Times New Roman" w:cs="Times New Roman"/>
          <w:b/>
          <w:sz w:val="24"/>
          <w:szCs w:val="24"/>
          <w:lang w:val="en-US"/>
        </w:rPr>
      </w:r>
    </w:p>
    <w:p>
      <w:pPr>
        <w:jc w:val="center"/>
        <w:spacing w:after="200" w:line="276" w:lineRule="auto"/>
        <w:rPr>
          <w:rFonts w:ascii="Times New Roman" w:hAnsi="Times New Roman" w:cs="Times New Roman"/>
          <w:b/>
          <w:sz w:val="24"/>
          <w:lang w:val="en-US" w:eastAsia="ru-RU"/>
        </w:rPr>
        <w:outlineLvl w:val="0"/>
      </w:pPr>
      <w:r>
        <w:rPr>
          <w:rFonts w:ascii="Times New Roman" w:hAnsi="Times New Roman" w:cs="Times New Roman"/>
          <w:b/>
          <w:sz w:val="24"/>
          <w:lang w:val="en-US" w:eastAsia="ru-RU"/>
        </w:rPr>
        <w:t xml:space="preserve">POLICY</w:t>
      </w:r>
      <w:r>
        <w:rPr>
          <w:rFonts w:ascii="Times New Roman" w:hAnsi="Times New Roman" w:cs="Times New Roman"/>
          <w:b/>
          <w:sz w:val="24"/>
          <w:lang w:val="en-US" w:eastAsia="ru-RU"/>
        </w:rPr>
      </w:r>
    </w:p>
    <w:p>
      <w:pPr>
        <w:jc w:val="center"/>
        <w:spacing w:after="200" w:line="276" w:lineRule="auto"/>
        <w:rPr>
          <w:rFonts w:ascii="Times New Roman" w:hAnsi="Times New Roman" w:cs="Times New Roman"/>
          <w:b/>
          <w:sz w:val="24"/>
          <w:lang w:val="en-US" w:eastAsia="ru-RU"/>
        </w:rPr>
      </w:pPr>
      <w:r>
        <w:rPr>
          <w:rFonts w:ascii="Times New Roman" w:hAnsi="Times New Roman" w:cs="Times New Roman"/>
          <w:b/>
          <w:sz w:val="24"/>
          <w:lang w:val="en-US" w:eastAsia="ru-RU"/>
        </w:rPr>
        <w:t xml:space="preserve">FOR THE PROCESSING AND PROTECTION OF THE PERSONAL DATA</w:t>
      </w:r>
      <w:r>
        <w:rPr>
          <w:rFonts w:ascii="Times New Roman" w:hAnsi="Times New Roman" w:cs="Times New Roman"/>
          <w:b/>
          <w:sz w:val="24"/>
          <w:lang w:val="en-US" w:eastAsia="ru-RU"/>
        </w:rPr>
        <w:br/>
      </w:r>
      <w:r>
        <w:rPr>
          <w:rFonts w:ascii="Times New Roman" w:hAnsi="Times New Roman" w:cs="Times New Roman"/>
          <w:b/>
          <w:sz w:val="24"/>
          <w:lang w:val="en-US" w:eastAsia="ru-RU"/>
        </w:rPr>
        <w:t xml:space="preserve">MAYOLY PHARMA</w:t>
      </w:r>
      <w:r>
        <w:rPr>
          <w:rFonts w:ascii="Times New Roman" w:hAnsi="Times New Roman" w:cs="Times New Roman"/>
          <w:b/>
          <w:sz w:val="24"/>
          <w:lang w:val="en-US" w:eastAsia="ru-RU"/>
        </w:rPr>
        <w:t xml:space="preserve"> </w:t>
      </w:r>
      <w:r>
        <w:rPr>
          <w:rFonts w:ascii="Times New Roman" w:hAnsi="Times New Roman" w:cs="Times New Roman"/>
          <w:b/>
          <w:sz w:val="24"/>
          <w:lang w:val="en-US" w:eastAsia="ru-RU"/>
        </w:rPr>
        <w:t xml:space="preserve">LLC</w:t>
      </w:r>
      <w:r>
        <w:rPr>
          <w:rFonts w:ascii="Times New Roman" w:hAnsi="Times New Roman" w:cs="Times New Roman"/>
          <w:b/>
          <w:sz w:val="24"/>
          <w:lang w:val="en-US" w:eastAsia="ru-RU"/>
        </w:rPr>
      </w:r>
    </w:p>
    <w:p>
      <w:pPr>
        <w:jc w:val="center"/>
        <w:spacing w:after="200" w:line="276" w:lineRule="auto"/>
        <w:rPr>
          <w:rFonts w:ascii="Times New Roman" w:hAnsi="Times New Roman" w:cs="Times New Roman"/>
          <w:b/>
          <w:sz w:val="24"/>
          <w:lang w:val="en-US" w:eastAsia="ru-RU"/>
        </w:rPr>
      </w:pPr>
      <w:r>
        <w:rPr>
          <w:rFonts w:ascii="Times New Roman" w:hAnsi="Times New Roman" w:cs="Times New Roman"/>
          <w:b/>
          <w:sz w:val="24"/>
          <w:lang w:val="en-US" w:eastAsia="ru-RU"/>
        </w:rPr>
      </w:r>
      <w:r>
        <w:rPr>
          <w:rFonts w:ascii="Times New Roman" w:hAnsi="Times New Roman" w:cs="Times New Roman"/>
          <w:b/>
          <w:sz w:val="24"/>
          <w:lang w:val="en-US" w:eastAsia="ru-RU"/>
        </w:rPr>
      </w:r>
    </w:p>
    <w:tbl>
      <w:tblPr>
        <w:tblStyle w:val="1081"/>
        <w:tblW w:w="9570" w:type="dxa"/>
        <w:tblBorders>
          <w:top w:val="none" w:color="auto" w:sz="0" w:space="0"/>
          <w:left w:val="none" w:color="auto" w:sz="0" w:space="0"/>
          <w:bottom w:val="none" w:color="auto" w:sz="0" w:space="0"/>
          <w:right w:val="none" w:color="auto" w:sz="0" w:space="0"/>
          <w:insideH w:val="none" w:color="auto" w:sz="0" w:space="0"/>
          <w:insideV w:val="single" w:color="BFBFBF" w:themeColor="background1" w:themeShade="BF" w:sz="4" w:space="0"/>
        </w:tblBorders>
        <w:tblLook w:val="04A0" w:firstRow="1" w:lastRow="0" w:firstColumn="1" w:lastColumn="0" w:noHBand="0" w:noVBand="1"/>
      </w:tblPr>
      <w:tblGrid>
        <w:gridCol w:w="4785"/>
        <w:gridCol w:w="4785"/>
      </w:tblGrid>
      <w:tr>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eastAsia="Times New Roman" w:cs="Times New Roman"/>
                <w:caps/>
                <w:lang w:eastAsia="ru-RU"/>
              </w:rPr>
            </w:pPr>
            <w:r>
              <w:rPr>
                <w:rFonts w:ascii="Times New Roman" w:hAnsi="Times New Roman" w:cs="Times New Roman"/>
                <w:b/>
              </w:rPr>
              <w:t xml:space="preserve">Общие</w:t>
            </w:r>
            <w:r>
              <w:rPr>
                <w:rFonts w:ascii="Times New Roman" w:hAnsi="Times New Roman" w:cs="Times New Roman"/>
                <w:b/>
                <w:lang w:val="en-US"/>
              </w:rPr>
              <w:t xml:space="preserve"> </w:t>
            </w:r>
            <w:r>
              <w:rPr>
                <w:rFonts w:ascii="Times New Roman" w:hAnsi="Times New Roman" w:cs="Times New Roman"/>
                <w:b/>
              </w:rPr>
              <w:t xml:space="preserve">положения</w:t>
            </w:r>
            <w:r>
              <w:rPr>
                <w:rFonts w:eastAsia="Times New Roman" w:cs="Times New Roman"/>
                <w:caps/>
                <w:lang w:eastAsia="ru-RU"/>
              </w:rPr>
            </w:r>
          </w:p>
        </w:tc>
        <w:tc>
          <w:tcPr>
            <w:tcW w:w="4785" w:type="dxa"/>
            <w:textDirection w:val="lrTb"/>
            <w:noWrap w:val="false"/>
          </w:tcPr>
          <w:p>
            <w:pPr>
              <w:pStyle w:val="1067"/>
              <w:numPr>
                <w:ilvl w:val="0"/>
                <w:numId w:val="35"/>
              </w:numPr>
              <w:contextualSpacing w:val="0"/>
              <w:ind w:left="567" w:hanging="567"/>
              <w:jc w:val="center"/>
              <w:keepNext/>
              <w:spacing w:before="120" w:after="240" w:line="240" w:lineRule="auto"/>
              <w:rPr>
                <w:rFonts w:eastAsia="Times New Roman" w:cs="Times New Roman"/>
                <w:caps/>
              </w:rPr>
            </w:pPr>
            <w:r>
              <w:rPr>
                <w:rFonts w:ascii="Times New Roman" w:hAnsi="Times New Roman"/>
                <w:b/>
                <w:lang w:val="en-GB"/>
              </w:rPr>
              <w:t xml:space="preserve">General</w:t>
            </w:r>
            <w:r>
              <w:rPr>
                <w:rFonts w:ascii="Times New Roman" w:hAnsi="Times New Roman"/>
                <w:b/>
              </w:rPr>
              <w:t xml:space="preserve"> </w:t>
            </w:r>
            <w:r>
              <w:rPr>
                <w:rFonts w:ascii="Times New Roman" w:hAnsi="Times New Roman"/>
                <w:b/>
                <w:lang w:val="en-GB"/>
              </w:rPr>
              <w:t xml:space="preserve">provisions</w:t>
            </w:r>
            <w:r>
              <w:rPr>
                <w:rFonts w:eastAsia="Times New Roman" w:cs="Times New Roman"/>
                <w:caps/>
              </w:rPr>
            </w:r>
          </w:p>
        </w:tc>
      </w:tr>
      <w:tr>
        <w:trPr/>
        <w:tc>
          <w:tcPr>
            <w:tcW w:w="4785" w:type="dxa"/>
            <w:textDirection w:val="lrTb"/>
            <w:noWrap w:val="false"/>
          </w:tcPr>
          <w:p>
            <w:pPr>
              <w:pStyle w:val="1067"/>
              <w:numPr>
                <w:ilvl w:val="1"/>
                <w:numId w:val="1"/>
              </w:numPr>
              <w:contextualSpacing w:val="0"/>
              <w:ind w:left="567" w:hanging="567"/>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Настоящая Политика обработки и защиты персональных данных (далее – «</w:t>
            </w:r>
            <w:r>
              <w:rPr>
                <w:rFonts w:ascii="Times New Roman" w:hAnsi="Times New Roman" w:eastAsia="Times New Roman" w:cs="Times New Roman"/>
                <w:b/>
                <w:lang w:eastAsia="ru-RU"/>
              </w:rPr>
              <w:t xml:space="preserve">Политика</w:t>
            </w:r>
            <w:r>
              <w:rPr>
                <w:rFonts w:ascii="Times New Roman" w:hAnsi="Times New Roman" w:eastAsia="Times New Roman" w:cs="Times New Roman"/>
                <w:lang w:eastAsia="ru-RU"/>
              </w:rPr>
              <w:t xml:space="preserve">») оператора персональных данных – Общества с ограниченной ответственностью «</w:t>
            </w:r>
            <w:r>
              <w:rPr>
                <w:rFonts w:ascii="Times New Roman" w:hAnsi="Times New Roman" w:eastAsia="Times New Roman" w:cs="Times New Roman"/>
                <w:lang w:eastAsia="ru-RU"/>
              </w:rPr>
              <w:t xml:space="preserve">МАЙОЛИ ФАРМА</w:t>
            </w:r>
            <w:r>
              <w:rPr>
                <w:rFonts w:ascii="Times New Roman" w:hAnsi="Times New Roman" w:eastAsia="Times New Roman" w:cs="Times New Roman"/>
                <w:lang w:eastAsia="ru-RU"/>
              </w:rPr>
              <w:t xml:space="preserve">» (далее – «</w:t>
            </w:r>
            <w:r>
              <w:rPr>
                <w:rFonts w:ascii="Times New Roman" w:hAnsi="Times New Roman" w:eastAsia="Times New Roman" w:cs="Times New Roman"/>
                <w:b/>
                <w:lang w:eastAsia="ru-RU"/>
              </w:rPr>
              <w:t xml:space="preserve">Компания</w:t>
            </w:r>
            <w:r>
              <w:rPr>
                <w:rFonts w:ascii="Times New Roman" w:hAnsi="Times New Roman" w:eastAsia="Times New Roman" w:cs="Times New Roman"/>
                <w:lang w:eastAsia="ru-RU"/>
              </w:rPr>
              <w:t xml:space="preserve">»), место нахождения: Российская Федерация, </w:t>
            </w:r>
            <w:r>
              <w:rPr>
                <w:rFonts w:ascii="Times New Roman" w:hAnsi="Times New Roman" w:eastAsia="Times New Roman" w:cs="Times New Roman"/>
                <w:lang w:eastAsia="ru-RU"/>
              </w:rPr>
              <w:t xml:space="preserve">109147, г. Москва, </w:t>
            </w:r>
            <w:r>
              <w:rPr>
                <w:rFonts w:ascii="Times New Roman" w:hAnsi="Times New Roman" w:eastAsia="Times New Roman" w:cs="Times New Roman"/>
                <w:lang w:eastAsia="ru-RU"/>
              </w:rPr>
              <w:t xml:space="preserve">вн</w:t>
            </w:r>
            <w:r>
              <w:rPr>
                <w:rFonts w:ascii="Times New Roman" w:hAnsi="Times New Roman" w:eastAsia="Times New Roman" w:cs="Times New Roman"/>
                <w:lang w:eastAsia="ru-RU"/>
              </w:rPr>
              <w:t xml:space="preserve">. тер. г. муниципальный округ Тага</w:t>
            </w:r>
            <w:r>
              <w:rPr>
                <w:rFonts w:ascii="Times New Roman" w:hAnsi="Times New Roman" w:eastAsia="Times New Roman" w:cs="Times New Roman"/>
                <w:lang w:eastAsia="ru-RU"/>
              </w:rPr>
              <w:t xml:space="preserve">нский, ул. Таганская, д. 17-23</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определяет основные принципы, порядок и условия обработки персональных данных (далее – «</w:t>
            </w:r>
            <w:r>
              <w:rPr>
                <w:rFonts w:ascii="Times New Roman" w:hAnsi="Times New Roman" w:eastAsia="Times New Roman" w:cs="Times New Roman"/>
                <w:b/>
                <w:lang w:eastAsia="ru-RU"/>
              </w:rPr>
              <w:t xml:space="preserve">ПДн</w:t>
            </w:r>
            <w:r>
              <w:rPr>
                <w:rFonts w:ascii="Times New Roman" w:hAnsi="Times New Roman" w:eastAsia="Times New Roman" w:cs="Times New Roman"/>
                <w:lang w:eastAsia="ru-RU"/>
              </w:rPr>
              <w:t xml:space="preserve">»), требования к защите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а также основные права и обязанности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 оператора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36"/>
              </w:numPr>
              <w:contextualSpacing w:val="0"/>
              <w:ind w:left="567" w:hanging="567"/>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This Policy for the processing and protection of personal data (the “</w:t>
            </w:r>
            <w:r>
              <w:rPr>
                <w:rFonts w:ascii="Times New Roman" w:hAnsi="Times New Roman"/>
                <w:b/>
                <w:bCs/>
                <w:lang w:val="en-US"/>
              </w:rPr>
              <w:t xml:space="preserve">Policy</w:t>
            </w:r>
            <w:r>
              <w:rPr>
                <w:rFonts w:ascii="Times New Roman" w:hAnsi="Times New Roman"/>
                <w:lang w:val="en-US"/>
              </w:rPr>
              <w:t xml:space="preserve">”) drafted by the personal data operator, i.e. Limited Liability Company </w:t>
            </w:r>
            <w:r>
              <w:rPr>
                <w:rFonts w:ascii="Times New Roman" w:hAnsi="Times New Roman"/>
                <w:lang w:val="en-US"/>
              </w:rPr>
              <w:t xml:space="preserve">MAYOLY PHARMA</w:t>
            </w:r>
            <w:r>
              <w:rPr>
                <w:rFonts w:ascii="Times New Roman" w:hAnsi="Times New Roman"/>
                <w:lang w:val="en-US"/>
              </w:rPr>
              <w:t xml:space="preserve"> </w:t>
            </w:r>
            <w:r>
              <w:rPr>
                <w:rFonts w:ascii="Times New Roman" w:hAnsi="Times New Roman"/>
                <w:lang w:val="en-US"/>
              </w:rPr>
              <w:t xml:space="preserve">(the </w:t>
            </w:r>
            <w:r>
              <w:rPr>
                <w:rFonts w:ascii="Times New Roman" w:hAnsi="Times New Roman"/>
                <w:b/>
                <w:bCs/>
                <w:lang w:val="en-US"/>
              </w:rPr>
              <w:t xml:space="preserve">“Company</w:t>
            </w:r>
            <w:r>
              <w:rPr>
                <w:rFonts w:ascii="Times New Roman" w:hAnsi="Times New Roman"/>
                <w:lang w:val="en-US"/>
              </w:rPr>
              <w:t xml:space="preserve">”) at: </w:t>
            </w:r>
            <w:r>
              <w:rPr>
                <w:rFonts w:ascii="Times New Roman" w:hAnsi="Times New Roman"/>
                <w:lang w:val="en-US"/>
              </w:rPr>
              <w:t xml:space="preserve">Russia, </w:t>
            </w:r>
            <w:r>
              <w:rPr>
                <w:rFonts w:ascii="Times New Roman" w:hAnsi="Times New Roman"/>
                <w:lang w:val="en-US"/>
              </w:rPr>
              <w:t xml:space="preserve">109147, Moscow, int. territ. </w:t>
            </w:r>
            <w:r>
              <w:rPr>
                <w:rFonts w:ascii="Times New Roman" w:hAnsi="Times New Roman"/>
                <w:lang w:val="en-US"/>
              </w:rPr>
              <w:t xml:space="preserve">city</w:t>
            </w:r>
            <w:r>
              <w:rPr>
                <w:rFonts w:ascii="Times New Roman" w:hAnsi="Times New Roman"/>
                <w:lang w:val="en-US"/>
              </w:rPr>
              <w:t xml:space="preserve"> municipal district </w:t>
            </w:r>
            <w:r>
              <w:rPr>
                <w:rFonts w:ascii="Times New Roman" w:hAnsi="Times New Roman"/>
                <w:lang w:val="en-US"/>
              </w:rPr>
              <w:t xml:space="preserve">Tagan</w:t>
            </w:r>
            <w:r>
              <w:rPr>
                <w:rFonts w:ascii="Times New Roman" w:hAnsi="Times New Roman"/>
                <w:lang w:val="en-US"/>
              </w:rPr>
              <w:t xml:space="preserve">skiy</w:t>
            </w:r>
            <w:r>
              <w:rPr>
                <w:rFonts w:ascii="Times New Roman" w:hAnsi="Times New Roman"/>
                <w:lang w:val="en-US"/>
              </w:rPr>
              <w:t xml:space="preserve">, </w:t>
            </w:r>
            <w:r>
              <w:rPr>
                <w:rFonts w:ascii="Times New Roman" w:hAnsi="Times New Roman"/>
                <w:lang w:val="en-US"/>
              </w:rPr>
              <w:t xml:space="preserve">Taganskaya</w:t>
            </w:r>
            <w:r>
              <w:rPr>
                <w:rFonts w:ascii="Times New Roman" w:hAnsi="Times New Roman"/>
                <w:lang w:val="en-US"/>
              </w:rPr>
              <w:t xml:space="preserve"> street, 17-23</w:t>
            </w:r>
            <w:r>
              <w:rPr>
                <w:rFonts w:ascii="Times New Roman" w:hAnsi="Times New Roman"/>
                <w:lang w:val="en-US"/>
              </w:rPr>
              <w:t xml:space="preserve">, </w:t>
            </w:r>
            <w:r>
              <w:rPr>
                <w:rFonts w:ascii="Times New Roman" w:hAnsi="Times New Roman"/>
                <w:lang w:val="en-US"/>
              </w:rPr>
              <w:t xml:space="preserve">defines the basic principles, procedure and conditions for processing personal data (the “</w:t>
            </w:r>
            <w:r>
              <w:rPr>
                <w:rFonts w:ascii="Times New Roman" w:hAnsi="Times New Roman"/>
                <w:b/>
                <w:bCs/>
                <w:lang w:val="en-US"/>
              </w:rPr>
              <w:t xml:space="preserve">PD</w:t>
            </w:r>
            <w:r>
              <w:rPr>
                <w:rFonts w:ascii="Times New Roman" w:hAnsi="Times New Roman"/>
                <w:lang w:val="en-US"/>
              </w:rPr>
              <w:t xml:space="preserve">”), the requirements for protecting </w:t>
            </w:r>
            <w:r>
              <w:rPr>
                <w:rFonts w:ascii="Times New Roman" w:hAnsi="Times New Roman"/>
                <w:lang w:val="en-US"/>
              </w:rPr>
              <w:t xml:space="preserve">the </w:t>
            </w:r>
            <w:r>
              <w:rPr>
                <w:rFonts w:ascii="Times New Roman" w:hAnsi="Times New Roman"/>
                <w:lang w:val="en-US"/>
              </w:rPr>
              <w:t xml:space="preserve">PD and the main rules and obligations of personal data subjects and of the PD operator.</w:t>
            </w:r>
            <w:r>
              <w:rPr>
                <w:rFonts w:ascii="Times New Roman" w:hAnsi="Times New Roman" w:eastAsia="Times New Roman" w:cs="Times New Roman"/>
                <w:lang w:val="en-US"/>
              </w:rPr>
            </w:r>
          </w:p>
        </w:tc>
      </w:tr>
      <w:tr>
        <w:trPr>
          <w:trHeight w:val="213"/>
        </w:trPr>
        <w:tc>
          <w:tcPr>
            <w:tcW w:w="4785" w:type="dxa"/>
            <w:textDirection w:val="lrTb"/>
            <w:noWrap w:val="false"/>
          </w:tcPr>
          <w:p>
            <w:pPr>
              <w:pStyle w:val="1067"/>
              <w:numPr>
                <w:ilvl w:val="1"/>
                <w:numId w:val="1"/>
              </w:numPr>
              <w:contextualSpacing w:val="0"/>
              <w:ind w:left="567" w:hanging="567"/>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Настоящая Политика является основным руководящим локальным нормативным актом Компании, определяющим требования в отношении обработки и защиты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36"/>
              </w:numPr>
              <w:contextualSpacing w:val="0"/>
              <w:ind w:left="567" w:hanging="567"/>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This Policy is the Company’s principal internal guide that defines the requirements for processing and protecting the PD.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cs="Times New Roman"/>
                <w:b/>
                <w:lang w:val="en-US"/>
              </w:rPr>
            </w:pPr>
            <w:r/>
            <w:bookmarkStart w:id="3" w:name="_Toc889173"/>
            <w:r/>
            <w:bookmarkStart w:id="4" w:name="_Toc27146054"/>
            <w:r>
              <w:rPr>
                <w:rFonts w:ascii="Times New Roman" w:hAnsi="Times New Roman" w:cs="Times New Roman"/>
                <w:b/>
                <w:lang w:val="en-US"/>
              </w:rPr>
              <w:t xml:space="preserve">Принципы</w:t>
            </w:r>
            <w:r>
              <w:rPr>
                <w:rFonts w:ascii="Times New Roman" w:hAnsi="Times New Roman" w:cs="Times New Roman"/>
                <w:b/>
                <w:lang w:val="en-US"/>
              </w:rPr>
              <w:t xml:space="preserve"> </w:t>
            </w:r>
            <w:r>
              <w:rPr>
                <w:rFonts w:ascii="Times New Roman" w:hAnsi="Times New Roman" w:cs="Times New Roman"/>
                <w:b/>
                <w:lang w:val="en-US"/>
              </w:rPr>
              <w:t xml:space="preserve">обработки</w:t>
            </w:r>
            <w:r>
              <w:rPr>
                <w:rFonts w:ascii="Times New Roman" w:hAnsi="Times New Roman" w:cs="Times New Roman"/>
                <w:b/>
                <w:lang w:val="en-US"/>
              </w:rPr>
              <w:t xml:space="preserve"> </w:t>
            </w:r>
            <w:r>
              <w:rPr>
                <w:rFonts w:ascii="Times New Roman" w:hAnsi="Times New Roman" w:cs="Times New Roman"/>
                <w:b/>
                <w:lang w:val="en-US"/>
              </w:rPr>
              <w:t xml:space="preserve">персональных</w:t>
            </w:r>
            <w:r>
              <w:rPr>
                <w:rFonts w:ascii="Times New Roman" w:hAnsi="Times New Roman" w:cs="Times New Roman"/>
                <w:b/>
                <w:lang w:val="en-US"/>
              </w:rPr>
              <w:t xml:space="preserve"> </w:t>
            </w:r>
            <w:r>
              <w:rPr>
                <w:rFonts w:ascii="Times New Roman" w:hAnsi="Times New Roman" w:cs="Times New Roman"/>
                <w:b/>
                <w:lang w:val="en-US"/>
              </w:rPr>
              <w:t xml:space="preserve">данных</w:t>
            </w:r>
            <w:bookmarkEnd w:id="3"/>
            <w:r/>
            <w:bookmarkEnd w:id="4"/>
            <w:r/>
            <w:r>
              <w:rPr>
                <w:rFonts w:ascii="Times New Roman" w:hAnsi="Times New Roman" w:cs="Times New Roman"/>
                <w:b/>
                <w:lang w:val="en-US"/>
              </w:rPr>
            </w:r>
          </w:p>
        </w:tc>
        <w:tc>
          <w:tcPr>
            <w:tcW w:w="4785" w:type="dxa"/>
            <w:textDirection w:val="lrTb"/>
            <w:noWrap w:val="false"/>
          </w:tcPr>
          <w:p>
            <w:pPr>
              <w:pStyle w:val="1067"/>
              <w:numPr>
                <w:ilvl w:val="0"/>
                <w:numId w:val="35"/>
              </w:numPr>
              <w:contextualSpacing w:val="0"/>
              <w:ind w:left="567" w:hanging="567"/>
              <w:jc w:val="center"/>
              <w:keepNext/>
              <w:spacing w:before="120" w:after="240" w:line="240" w:lineRule="auto"/>
              <w:rPr>
                <w:rFonts w:ascii="Times New Roman" w:hAnsi="Times New Roman" w:cs="Times New Roman"/>
                <w:b/>
                <w:lang w:val="en-US"/>
              </w:rPr>
            </w:pPr>
            <w:r>
              <w:rPr>
                <w:rFonts w:ascii="Times New Roman" w:hAnsi="Times New Roman"/>
                <w:b/>
                <w:lang w:val="en-US"/>
              </w:rPr>
              <w:t xml:space="preserve">Principles of processing personal data</w:t>
            </w:r>
            <w:r>
              <w:rPr>
                <w:rFonts w:ascii="Times New Roman" w:hAnsi="Times New Roman" w:cs="Times New Roman"/>
                <w:b/>
                <w:lang w:val="en-US"/>
              </w:rPr>
            </w:r>
          </w:p>
        </w:tc>
      </w:tr>
      <w:tr>
        <w:trPr/>
        <w:tc>
          <w:tcPr>
            <w:tcW w:w="4785" w:type="dxa"/>
            <w:textDirection w:val="lrTb"/>
            <w:noWrap w:val="false"/>
          </w:tcPr>
          <w:p>
            <w:pPr>
              <w:pStyle w:val="1067"/>
              <w:numPr>
                <w:ilvl w:val="1"/>
                <w:numId w:val="35"/>
              </w:numPr>
              <w:contextualSpacing w:val="0"/>
              <w:ind w:left="567" w:hanging="567"/>
              <w:jc w:val="both"/>
              <w:spacing w:after="240" w:line="240" w:lineRule="auto"/>
              <w:widowControl w:val="off"/>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Обработка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Компанией </w:t>
            </w:r>
            <w:r>
              <w:rPr>
                <w:rFonts w:ascii="Times New Roman" w:hAnsi="Times New Roman" w:cs="Times New Roman"/>
              </w:rPr>
              <w:t xml:space="preserve">осуществляется</w:t>
            </w:r>
            <w:r>
              <w:rPr>
                <w:rFonts w:ascii="Times New Roman" w:hAnsi="Times New Roman" w:eastAsia="Times New Roman" w:cs="Times New Roman"/>
                <w:lang w:eastAsia="ru-RU"/>
              </w:rPr>
              <w:t xml:space="preserve"> в соответствии с принципами:</w:t>
            </w:r>
            <w:r>
              <w:rPr>
                <w:rFonts w:ascii="Times New Roman" w:hAnsi="Times New Roman" w:eastAsia="Times New Roman" w:cs="Times New Roman"/>
                <w:lang w:eastAsia="ru-RU"/>
              </w:rPr>
            </w:r>
          </w:p>
        </w:tc>
        <w:tc>
          <w:tcPr>
            <w:tcW w:w="4785" w:type="dxa"/>
            <w:textDirection w:val="lrTb"/>
            <w:noWrap w:val="false"/>
          </w:tcPr>
          <w:p>
            <w:pPr>
              <w:pStyle w:val="1067"/>
              <w:numPr>
                <w:ilvl w:val="1"/>
                <w:numId w:val="37"/>
              </w:numPr>
              <w:contextualSpacing w:val="0"/>
              <w:ind w:left="573" w:hanging="567"/>
              <w:jc w:val="both"/>
              <w:spacing w:after="240" w:line="240" w:lineRule="auto"/>
              <w:widowControl w:val="off"/>
              <w:rPr>
                <w:rFonts w:ascii="Times New Roman" w:hAnsi="Times New Roman" w:eastAsia="Times New Roman" w:cs="Times New Roman"/>
                <w:lang w:val="en-US"/>
              </w:rPr>
            </w:pPr>
            <w:r>
              <w:rPr>
                <w:rFonts w:ascii="Times New Roman" w:hAnsi="Times New Roman"/>
                <w:lang w:val="en-US"/>
              </w:rPr>
              <w:t xml:space="preserve">The Company processes </w:t>
            </w:r>
            <w:r>
              <w:rPr>
                <w:rFonts w:ascii="Times New Roman" w:hAnsi="Times New Roman"/>
                <w:lang w:val="en-US"/>
              </w:rPr>
              <w:t xml:space="preserve">the </w:t>
            </w:r>
            <w:r>
              <w:rPr>
                <w:rFonts w:ascii="Times New Roman" w:hAnsi="Times New Roman"/>
                <w:lang w:val="en-US"/>
              </w:rPr>
              <w:t xml:space="preserve">PD in accordance with the following principles:</w:t>
            </w:r>
            <w:r>
              <w:rPr>
                <w:rFonts w:ascii="Times New Roman" w:hAnsi="Times New Roman" w:eastAsia="Times New Roman" w:cs="Times New Roman"/>
                <w:lang w:val="en-US"/>
              </w:rPr>
            </w:r>
          </w:p>
        </w:tc>
      </w:tr>
      <w:tr>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законности и справедливости целей и способов обработки </w:t>
            </w:r>
            <w:r>
              <w:rPr>
                <w:rFonts w:ascii="Times New Roman" w:hAnsi="Times New Roman"/>
                <w:szCs w:val="22"/>
              </w:rPr>
              <w:t xml:space="preserve">ПДн</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purposes and methods for processing the PD are legitimate and fair;</w:t>
            </w:r>
            <w:r>
              <w:rPr>
                <w:rFonts w:ascii="Times New Roman" w:hAnsi="Times New Roman"/>
                <w:szCs w:val="22"/>
                <w:lang w:val="en-US"/>
              </w:rPr>
            </w:r>
          </w:p>
        </w:tc>
      </w:tr>
      <w:tr>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ограничения обработки </w:t>
            </w:r>
            <w:r>
              <w:rPr>
                <w:rFonts w:ascii="Times New Roman" w:hAnsi="Times New Roman"/>
                <w:szCs w:val="22"/>
              </w:rPr>
              <w:t xml:space="preserve">ПДн</w:t>
            </w:r>
            <w:r>
              <w:rPr>
                <w:rFonts w:ascii="Times New Roman" w:hAnsi="Times New Roman"/>
                <w:szCs w:val="22"/>
              </w:rPr>
              <w:t xml:space="preserve"> достижением конкретных, заранее определенных и законных целей;</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processing of the PD is limited to achieving specific and lawful purposes set in advance;</w:t>
            </w:r>
            <w:r>
              <w:rPr>
                <w:rFonts w:ascii="Times New Roman" w:hAnsi="Times New Roman"/>
                <w:szCs w:val="22"/>
                <w:lang w:val="en-US"/>
              </w:rPr>
            </w:r>
          </w:p>
        </w:tc>
      </w:tr>
      <w:tr>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недопущения объединения баз данных, содержащих </w:t>
            </w:r>
            <w:r>
              <w:rPr>
                <w:rFonts w:ascii="Times New Roman" w:hAnsi="Times New Roman"/>
                <w:szCs w:val="22"/>
              </w:rPr>
              <w:t xml:space="preserve">ПДн</w:t>
            </w:r>
            <w:r>
              <w:rPr>
                <w:rFonts w:ascii="Times New Roman" w:hAnsi="Times New Roman"/>
                <w:szCs w:val="22"/>
              </w:rPr>
              <w:t xml:space="preserve">, обработка которых осуществляется в целях, несовместимых между собой;</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it is not permitted to combine the databases which contain the PD processed for mutually incompatible purposes;</w:t>
            </w:r>
            <w:r>
              <w:rPr>
                <w:rFonts w:ascii="Times New Roman" w:hAnsi="Times New Roman"/>
                <w:szCs w:val="22"/>
                <w:lang w:val="en-US"/>
              </w:rPr>
            </w:r>
          </w:p>
        </w:tc>
      </w:tr>
      <w:tr>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соответствия объема и содержания обрабатываемых </w:t>
            </w:r>
            <w:r>
              <w:rPr>
                <w:rFonts w:ascii="Times New Roman" w:hAnsi="Times New Roman"/>
                <w:szCs w:val="22"/>
              </w:rPr>
              <w:t xml:space="preserve">ПДн</w:t>
            </w:r>
            <w:r>
              <w:rPr>
                <w:rFonts w:ascii="Times New Roman" w:hAnsi="Times New Roman"/>
                <w:szCs w:val="22"/>
              </w:rPr>
              <w:t xml:space="preserve"> целям обработки </w:t>
            </w:r>
            <w:r>
              <w:rPr>
                <w:rFonts w:ascii="Times New Roman" w:hAnsi="Times New Roman"/>
                <w:szCs w:val="22"/>
              </w:rPr>
              <w:t xml:space="preserve">ПДн</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the volume and content of the processed PD correspond to the purposes for processing the PD;</w:t>
            </w:r>
            <w:r>
              <w:rPr>
                <w:rFonts w:ascii="Times New Roman" w:hAnsi="Times New Roman"/>
                <w:szCs w:val="22"/>
                <w:lang w:val="en-US"/>
              </w:rPr>
            </w:r>
          </w:p>
        </w:tc>
      </w:tr>
      <w:tr>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недопустимости обработки </w:t>
            </w:r>
            <w:r>
              <w:rPr>
                <w:rFonts w:ascii="Times New Roman" w:hAnsi="Times New Roman"/>
                <w:szCs w:val="22"/>
              </w:rPr>
              <w:t xml:space="preserve">ПДн</w:t>
            </w:r>
            <w:r>
              <w:rPr>
                <w:rFonts w:ascii="Times New Roman" w:hAnsi="Times New Roman"/>
                <w:szCs w:val="22"/>
              </w:rPr>
              <w:t xml:space="preserve">, которая может быть несовместима с целями сбора </w:t>
            </w:r>
            <w:r>
              <w:rPr>
                <w:rFonts w:ascii="Times New Roman" w:hAnsi="Times New Roman"/>
                <w:szCs w:val="22"/>
              </w:rPr>
              <w:t xml:space="preserve">ПДн</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it is not permitted to process the PD where such processing is incompatible with the purposes for which the PD was </w:t>
            </w:r>
            <w:r>
              <w:rPr>
                <w:rFonts w:ascii="Times New Roman" w:hAnsi="Times New Roman"/>
                <w:szCs w:val="22"/>
                <w:lang w:val="en-US"/>
              </w:rPr>
              <w:t xml:space="preserve">collected</w:t>
            </w:r>
            <w:r>
              <w:rPr>
                <w:rFonts w:ascii="Times New Roman" w:hAnsi="Times New Roman"/>
                <w:szCs w:val="22"/>
                <w:lang w:val="en-US"/>
              </w:rPr>
              <w:t xml:space="preserve">;</w:t>
            </w:r>
            <w:r>
              <w:rPr>
                <w:rFonts w:ascii="Times New Roman" w:hAnsi="Times New Roman"/>
                <w:szCs w:val="22"/>
                <w:lang w:val="en-US"/>
              </w:rPr>
            </w:r>
          </w:p>
        </w:tc>
      </w:tr>
      <w:tr>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обеспечения точности </w:t>
            </w:r>
            <w:r>
              <w:rPr>
                <w:rFonts w:ascii="Times New Roman" w:hAnsi="Times New Roman"/>
                <w:szCs w:val="22"/>
              </w:rPr>
              <w:t xml:space="preserve">ПДн</w:t>
            </w:r>
            <w:r>
              <w:rPr>
                <w:rFonts w:ascii="Times New Roman" w:hAnsi="Times New Roman"/>
                <w:szCs w:val="22"/>
              </w:rPr>
              <w:t xml:space="preserve">, их достаточности, а в необходимых случаях актуальности </w:t>
            </w:r>
            <w:r>
              <w:rPr>
                <w:rFonts w:ascii="Times New Roman" w:hAnsi="Times New Roman"/>
                <w:szCs w:val="22"/>
              </w:rPr>
              <w:t xml:space="preserve">ПДн</w:t>
            </w:r>
            <w:r>
              <w:rPr>
                <w:rFonts w:ascii="Times New Roman" w:hAnsi="Times New Roman"/>
                <w:szCs w:val="22"/>
              </w:rPr>
              <w:t xml:space="preserve"> для целей их обработки;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it must be ensured that the PD is accurate, sufficient and, </w:t>
            </w:r>
            <w:r>
              <w:rPr>
                <w:rFonts w:ascii="Times New Roman" w:hAnsi="Times New Roman"/>
                <w:szCs w:val="22"/>
                <w:lang w:val="en-US"/>
              </w:rPr>
              <w:t xml:space="preserve">where</w:t>
            </w:r>
            <w:r>
              <w:rPr>
                <w:rFonts w:ascii="Times New Roman" w:hAnsi="Times New Roman"/>
                <w:szCs w:val="22"/>
                <w:lang w:val="en-US"/>
              </w:rPr>
              <w:t xml:space="preserve"> necessary, updated for the purposes of processing the PD;</w:t>
            </w:r>
            <w:r>
              <w:rPr>
                <w:rFonts w:ascii="Times New Roman" w:hAnsi="Times New Roman"/>
                <w:szCs w:val="22"/>
                <w:lang w:val="en-US"/>
              </w:rPr>
            </w:r>
          </w:p>
        </w:tc>
      </w:tr>
      <w:tr>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хранения </w:t>
            </w:r>
            <w:r>
              <w:rPr>
                <w:rFonts w:ascii="Times New Roman" w:hAnsi="Times New Roman"/>
                <w:szCs w:val="22"/>
              </w:rPr>
              <w:t xml:space="preserve">ПДн</w:t>
            </w:r>
            <w:r>
              <w:rPr>
                <w:rFonts w:ascii="Times New Roman" w:hAnsi="Times New Roman"/>
                <w:szCs w:val="22"/>
              </w:rPr>
              <w:t xml:space="preserve"> в форме, позволяющей определить субъекта </w:t>
            </w:r>
            <w:r>
              <w:rPr>
                <w:rFonts w:ascii="Times New Roman" w:hAnsi="Times New Roman"/>
                <w:szCs w:val="22"/>
              </w:rPr>
              <w:t xml:space="preserve">ПДн</w:t>
            </w:r>
            <w:r>
              <w:rPr>
                <w:rFonts w:ascii="Times New Roman" w:hAnsi="Times New Roman"/>
                <w:szCs w:val="22"/>
              </w:rPr>
              <w:t xml:space="preserve">, не дольше, чем этого требуют цели обработки </w:t>
            </w:r>
            <w:r>
              <w:rPr>
                <w:rFonts w:ascii="Times New Roman" w:hAnsi="Times New Roman"/>
                <w:szCs w:val="22"/>
              </w:rPr>
              <w:t xml:space="preserve">ПДн</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the PD is stored in a format allowing for a personal data subject to be determined but not for a longer period than required for the purposes of processing the PD.</w:t>
            </w:r>
            <w:r>
              <w:rPr>
                <w:rFonts w:ascii="Times New Roman" w:hAnsi="Times New Roman"/>
                <w:szCs w:val="22"/>
                <w:lang w:val="en-US"/>
              </w:rPr>
            </w:r>
          </w:p>
        </w:tc>
      </w:tr>
      <w:tr>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eastAsia="Times New Roman" w:cs="Times New Roman"/>
                <w:caps/>
                <w:lang w:eastAsia="ru-RU"/>
              </w:rPr>
            </w:pPr>
            <w:r/>
            <w:bookmarkStart w:id="5" w:name="_Toc889174"/>
            <w:r/>
            <w:bookmarkStart w:id="6" w:name="_Toc27146055"/>
            <w:r>
              <w:rPr>
                <w:rFonts w:ascii="Times New Roman" w:hAnsi="Times New Roman" w:cs="Times New Roman"/>
                <w:b/>
                <w:lang w:val="en-US"/>
              </w:rPr>
              <w:t xml:space="preserve">Цели</w:t>
            </w:r>
            <w:r>
              <w:rPr>
                <w:rFonts w:ascii="Times New Roman" w:hAnsi="Times New Roman" w:cs="Times New Roman"/>
                <w:b/>
                <w:lang w:val="en-US"/>
              </w:rPr>
              <w:t xml:space="preserve"> </w:t>
            </w:r>
            <w:r>
              <w:rPr>
                <w:rFonts w:ascii="Times New Roman" w:hAnsi="Times New Roman" w:cs="Times New Roman"/>
                <w:b/>
                <w:lang w:val="en-US"/>
              </w:rPr>
              <w:t xml:space="preserve">обработки</w:t>
            </w:r>
            <w:r>
              <w:rPr>
                <w:rFonts w:ascii="Times New Roman" w:hAnsi="Times New Roman" w:cs="Times New Roman"/>
                <w:b/>
                <w:lang w:val="en-US"/>
              </w:rPr>
              <w:t xml:space="preserve"> </w:t>
            </w:r>
            <w:r>
              <w:rPr>
                <w:rFonts w:ascii="Times New Roman" w:hAnsi="Times New Roman" w:eastAsia="Times New Roman" w:cs="Times New Roman"/>
                <w:b/>
                <w:lang w:eastAsia="ru-RU"/>
              </w:rPr>
              <w:t xml:space="preserve">персональных</w:t>
            </w:r>
            <w:r>
              <w:rPr>
                <w:rFonts w:ascii="Times New Roman" w:hAnsi="Times New Roman" w:cs="Times New Roman"/>
                <w:b/>
                <w:lang w:val="en-US"/>
              </w:rPr>
              <w:t xml:space="preserve"> </w:t>
            </w:r>
            <w:r>
              <w:rPr>
                <w:rFonts w:ascii="Times New Roman" w:hAnsi="Times New Roman" w:cs="Times New Roman"/>
                <w:b/>
                <w:lang w:val="en-US"/>
              </w:rPr>
              <w:t xml:space="preserve">данных</w:t>
            </w:r>
            <w:bookmarkEnd w:id="5"/>
            <w:r/>
            <w:bookmarkEnd w:id="6"/>
            <w:r/>
            <w:r>
              <w:rPr>
                <w:rFonts w:ascii="Times New Roman" w:hAnsi="Times New Roman" w:eastAsia="Times New Roman" w:cs="Times New Roman"/>
                <w:caps/>
                <w:lang w:eastAsia="ru-RU"/>
              </w:rPr>
            </w:r>
          </w:p>
        </w:tc>
        <w:tc>
          <w:tcPr>
            <w:tcW w:w="4785" w:type="dxa"/>
            <w:textDirection w:val="lrTb"/>
            <w:noWrap w:val="false"/>
          </w:tcPr>
          <w:p>
            <w:pPr>
              <w:pStyle w:val="1067"/>
              <w:numPr>
                <w:ilvl w:val="0"/>
                <w:numId w:val="37"/>
              </w:numPr>
              <w:contextualSpacing w:val="0"/>
              <w:ind w:left="567" w:hanging="567"/>
              <w:jc w:val="center"/>
              <w:keepNext/>
              <w:spacing w:before="120" w:after="240" w:line="240" w:lineRule="auto"/>
              <w:rPr>
                <w:rFonts w:ascii="Times New Roman" w:hAnsi="Times New Roman" w:eastAsia="Times New Roman" w:cs="Times New Roman"/>
                <w:caps/>
                <w:lang w:val="en-US"/>
              </w:rPr>
            </w:pPr>
            <w:r>
              <w:rPr>
                <w:rFonts w:ascii="Times New Roman" w:hAnsi="Times New Roman"/>
                <w:b/>
                <w:lang w:val="en-US"/>
              </w:rPr>
              <w:t xml:space="preserve">Purposes of processing personal data</w:t>
            </w:r>
            <w:r>
              <w:rPr>
                <w:rFonts w:ascii="Times New Roman" w:hAnsi="Times New Roman" w:eastAsia="Times New Roman" w:cs="Times New Roman"/>
                <w:caps/>
                <w:lang w:val="en-US"/>
              </w:rPr>
            </w:r>
          </w:p>
        </w:tc>
      </w:tr>
      <w:tr>
        <w:trPr>
          <w:trHeight w:val="645"/>
        </w:trPr>
        <w:tc>
          <w:tcPr>
            <w:tcW w:w="4785" w:type="dxa"/>
            <w:textDirection w:val="lrTb"/>
            <w:noWrap w:val="false"/>
          </w:tcPr>
          <w:p>
            <w:pPr>
              <w:pStyle w:val="1067"/>
              <w:numPr>
                <w:ilvl w:val="1"/>
                <w:numId w:val="37"/>
              </w:numPr>
              <w:ind w:left="567" w:hanging="567"/>
              <w:jc w:val="both"/>
              <w:spacing w:after="240" w:line="240" w:lineRule="auto"/>
              <w:widowControl w:val="off"/>
              <w:rPr>
                <w:rFonts w:ascii="Times New Roman" w:hAnsi="Times New Roman"/>
              </w:rPr>
            </w:pPr>
            <w:r>
              <w:rPr>
                <w:rFonts w:ascii="Times New Roman" w:hAnsi="Times New Roman" w:cs="Times New Roman"/>
              </w:rPr>
              <w:t xml:space="preserve">Компания</w:t>
            </w:r>
            <w:r>
              <w:rPr>
                <w:rFonts w:ascii="Times New Roman" w:hAnsi="Times New Roman" w:eastAsia="Times New Roman" w:cs="Times New Roman"/>
                <w:lang w:eastAsia="ru-RU"/>
              </w:rPr>
              <w:t xml:space="preserve"> осуществляет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следующих целях:</w:t>
            </w:r>
            <w:r>
              <w:rPr>
                <w:rFonts w:ascii="Times New Roman" w:hAnsi="Times New Roman"/>
              </w:rPr>
            </w:r>
          </w:p>
        </w:tc>
        <w:tc>
          <w:tcPr>
            <w:tcW w:w="4785" w:type="dxa"/>
            <w:textDirection w:val="lrTb"/>
            <w:noWrap w:val="false"/>
          </w:tcPr>
          <w:p>
            <w:pPr>
              <w:pStyle w:val="1067"/>
              <w:numPr>
                <w:ilvl w:val="1"/>
                <w:numId w:val="38"/>
              </w:numPr>
              <w:ind w:left="573" w:hanging="567"/>
              <w:jc w:val="both"/>
              <w:spacing w:after="240" w:line="240" w:lineRule="auto"/>
              <w:widowControl w:val="off"/>
              <w:rPr>
                <w:rFonts w:ascii="Times New Roman" w:hAnsi="Times New Roman"/>
                <w:lang w:val="en-US"/>
              </w:rPr>
            </w:pPr>
            <w:r>
              <w:rPr>
                <w:rFonts w:ascii="Times New Roman" w:hAnsi="Times New Roman"/>
                <w:lang w:val="en-US"/>
              </w:rPr>
              <w:t xml:space="preserve">The Company processes </w:t>
            </w:r>
            <w:r>
              <w:rPr>
                <w:rFonts w:ascii="Times New Roman" w:hAnsi="Times New Roman"/>
                <w:lang w:val="en-US"/>
              </w:rPr>
              <w:t xml:space="preserve">the </w:t>
            </w:r>
            <w:r>
              <w:rPr>
                <w:rFonts w:ascii="Times New Roman" w:hAnsi="Times New Roman"/>
                <w:lang w:val="en-US"/>
              </w:rPr>
              <w:t xml:space="preserve">PD for the following purposes:</w:t>
            </w:r>
            <w:r>
              <w:rPr>
                <w:rFonts w:ascii="Times New Roman" w:hAnsi="Times New Roman"/>
                <w:lang w:val="en-US"/>
              </w:rPr>
            </w:r>
          </w:p>
        </w:tc>
      </w:tr>
      <w:tr>
        <w:trPr>
          <w:trHeight w:val="645"/>
        </w:trPr>
        <w:tc>
          <w:tcPr>
            <w:tcW w:w="4785" w:type="dxa"/>
            <w:textDirection w:val="lrTb"/>
            <w:noWrap w:val="false"/>
          </w:tcPr>
          <w:p>
            <w:pPr>
              <w:pStyle w:val="1069"/>
              <w:numPr>
                <w:ilvl w:val="0"/>
                <w:numId w:val="20"/>
              </w:numPr>
              <w:ind w:left="595" w:hanging="567"/>
              <w:spacing w:after="240" w:line="240" w:lineRule="auto"/>
              <w:rPr>
                <w:rFonts w:ascii="Times New Roman" w:hAnsi="Times New Roman"/>
              </w:rPr>
            </w:pPr>
            <w:r>
              <w:rPr>
                <w:rFonts w:ascii="Times New Roman" w:hAnsi="Times New Roman"/>
                <w:szCs w:val="22"/>
              </w:rPr>
              <w:t xml:space="preserve">исполнения прав и обязанностей сторон трудовых отношений;</w:t>
            </w:r>
            <w:r>
              <w:rPr>
                <w:rFonts w:ascii="Times New Roman" w:hAnsi="Times New Roman"/>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lang w:val="en-US"/>
              </w:rPr>
            </w:pPr>
            <w:r>
              <w:rPr>
                <w:rFonts w:ascii="Times New Roman" w:hAnsi="Times New Roman"/>
                <w:szCs w:val="22"/>
                <w:lang w:val="en-US"/>
              </w:rPr>
              <w:t xml:space="preserve">to ensure performance of rights and obligations by the parties to employment relationships;</w:t>
            </w:r>
            <w:r>
              <w:rPr>
                <w:rFonts w:ascii="Times New Roman" w:hAnsi="Times New Roman"/>
                <w:lang w:val="en-US"/>
              </w:rPr>
            </w:r>
          </w:p>
        </w:tc>
      </w:tr>
      <w:tr>
        <w:trPr>
          <w:trHeight w:val="645"/>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информационного обеспечения трудовой деятельности</w:t>
            </w:r>
            <w:r>
              <w:rPr>
                <w:rFonts w:ascii="Times New Roman" w:hAnsi="Times New Roman"/>
                <w:szCs w:val="22"/>
              </w:rPr>
              <w:t xml:space="preserve"> работника</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ensure information support of </w:t>
            </w:r>
            <w:r>
              <w:rPr>
                <w:rFonts w:ascii="Times New Roman" w:hAnsi="Times New Roman"/>
                <w:szCs w:val="22"/>
                <w:lang w:val="en-US"/>
              </w:rPr>
              <w:t xml:space="preserve">an employee’s </w:t>
            </w:r>
            <w:r>
              <w:rPr>
                <w:rFonts w:ascii="Times New Roman" w:hAnsi="Times New Roman"/>
                <w:szCs w:val="22"/>
                <w:lang w:val="en-US"/>
              </w:rPr>
              <w:t xml:space="preserve">labour</w:t>
            </w:r>
            <w:r>
              <w:rPr>
                <w:rFonts w:ascii="Times New Roman" w:hAnsi="Times New Roman"/>
                <w:szCs w:val="22"/>
                <w:lang w:val="en-US"/>
              </w:rPr>
              <w:t xml:space="preserve"> activity;</w:t>
            </w:r>
            <w:r>
              <w:rPr>
                <w:rFonts w:ascii="Times New Roman" w:hAnsi="Times New Roman"/>
                <w:szCs w:val="22"/>
                <w:lang w:val="en-US"/>
              </w:rPr>
            </w:r>
          </w:p>
        </w:tc>
      </w:tr>
      <w:tr>
        <w:trPr>
          <w:trHeight w:val="645"/>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обеспечения организации и реализации единых внутригрупповых бизнес-процессов группы компаний </w:t>
            </w:r>
            <w:r>
              <w:rPr>
                <w:rFonts w:ascii="Times New Roman" w:hAnsi="Times New Roman"/>
                <w:szCs w:val="22"/>
              </w:rPr>
              <w:t xml:space="preserve">Майоли</w:t>
            </w:r>
            <w:r>
              <w:rPr>
                <w:rFonts w:ascii="Times New Roman" w:hAnsi="Times New Roman"/>
                <w:szCs w:val="22"/>
              </w:rPr>
              <w:t xml:space="preserve"> </w:t>
            </w:r>
            <w:r>
              <w:rPr>
                <w:rFonts w:ascii="Times New Roman" w:hAnsi="Times New Roman"/>
                <w:szCs w:val="22"/>
              </w:rPr>
              <w:t xml:space="preserve">Спиндлер</w:t>
            </w:r>
            <w:r>
              <w:rPr>
                <w:rFonts w:ascii="Times New Roman" w:hAnsi="Times New Roman"/>
                <w:szCs w:val="22"/>
              </w:rPr>
              <w:t xml:space="preserve"> </w:t>
            </w:r>
            <w:r>
              <w:rPr>
                <w:rFonts w:ascii="Times New Roman" w:hAnsi="Times New Roman"/>
                <w:szCs w:val="22"/>
              </w:rPr>
              <w:t xml:space="preserve">в отношении работников</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ensure that unified internal business processes are arranged and implemented </w:t>
            </w:r>
            <w:r>
              <w:rPr>
                <w:rFonts w:ascii="Times New Roman" w:hAnsi="Times New Roman"/>
                <w:szCs w:val="22"/>
                <w:lang w:val="en-US"/>
              </w:rPr>
              <w:t xml:space="preserve">with respect to employees </w:t>
            </w:r>
            <w:r>
              <w:rPr>
                <w:rFonts w:ascii="Times New Roman" w:hAnsi="Times New Roman"/>
                <w:szCs w:val="22"/>
                <w:lang w:val="en-US"/>
              </w:rPr>
              <w:t xml:space="preserve">within the </w:t>
            </w:r>
            <w:r>
              <w:rPr>
                <w:rFonts w:ascii="Times New Roman" w:hAnsi="Times New Roman"/>
                <w:szCs w:val="22"/>
                <w:lang w:val="en-US"/>
              </w:rPr>
              <w:t xml:space="preserve">Mayoly</w:t>
            </w:r>
            <w:r>
              <w:rPr>
                <w:rFonts w:ascii="Times New Roman" w:hAnsi="Times New Roman"/>
                <w:szCs w:val="22"/>
                <w:lang w:val="en-US"/>
              </w:rPr>
              <w:t xml:space="preserve"> </w:t>
            </w:r>
            <w:r>
              <w:rPr>
                <w:rFonts w:ascii="Times New Roman" w:hAnsi="Times New Roman"/>
                <w:szCs w:val="22"/>
                <w:lang w:val="en-US"/>
              </w:rPr>
              <w:t xml:space="preserve">Spindler</w:t>
            </w:r>
            <w:r>
              <w:rPr>
                <w:rFonts w:ascii="Times New Roman" w:hAnsi="Times New Roman"/>
                <w:szCs w:val="22"/>
                <w:lang w:val="en-US"/>
              </w:rPr>
              <w:t xml:space="preserve"> Group;</w:t>
            </w:r>
            <w:r>
              <w:rPr>
                <w:rFonts w:ascii="Times New Roman" w:hAnsi="Times New Roman"/>
                <w:szCs w:val="22"/>
                <w:lang w:val="en-US"/>
              </w:rPr>
            </w:r>
          </w:p>
        </w:tc>
      </w:tr>
      <w:tr>
        <w:trPr>
          <w:trHeight w:val="645"/>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организации маркетинговых и социальных активностей работников;</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organize the employees’ marketing and social activities;</w:t>
            </w:r>
            <w:r>
              <w:rPr>
                <w:rFonts w:ascii="Times New Roman" w:hAnsi="Times New Roman"/>
                <w:szCs w:val="22"/>
                <w:lang w:val="en-US"/>
              </w:rPr>
            </w:r>
          </w:p>
        </w:tc>
      </w:tr>
      <w:tr>
        <w:trPr>
          <w:trHeight w:val="645"/>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рассмотрения возможности трудоустройства кандидатов;</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consider the possibility of employment of candidates;</w:t>
            </w:r>
            <w:r>
              <w:rPr>
                <w:rFonts w:ascii="Times New Roman" w:hAnsi="Times New Roman"/>
                <w:szCs w:val="22"/>
                <w:lang w:val="en-US"/>
              </w:rPr>
            </w:r>
          </w:p>
        </w:tc>
      </w:tr>
      <w:tr>
        <w:trPr>
          <w:trHeight w:val="815"/>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осуществления и выполнения возложенных законодательством РФ и международными договорами РФ на </w:t>
            </w:r>
            <w:r>
              <w:rPr>
                <w:rFonts w:ascii="Times New Roman" w:hAnsi="Times New Roman"/>
                <w:szCs w:val="22"/>
              </w:rPr>
              <w:t xml:space="preserve">работодателя</w:t>
            </w:r>
            <w:r>
              <w:rPr>
                <w:rFonts w:ascii="Times New Roman" w:hAnsi="Times New Roman"/>
                <w:szCs w:val="22"/>
              </w:rPr>
              <w:t xml:space="preserve"> функций, полномочий и обязанностей</w:t>
            </w:r>
            <w:r>
              <w:rPr>
                <w:rFonts w:ascii="Times New Roman" w:hAnsi="Times New Roman"/>
                <w:szCs w:val="22"/>
              </w:rPr>
              <w:t xml:space="preserve"> </w:t>
            </w:r>
            <w:r>
              <w:rPr>
                <w:rFonts w:ascii="Times New Roman" w:hAnsi="Times New Roman"/>
                <w:szCs w:val="22"/>
              </w:rPr>
              <w:t xml:space="preserve">в </w:t>
            </w:r>
            <w:r>
              <w:rPr>
                <w:rFonts w:ascii="Times New Roman" w:hAnsi="Times New Roman"/>
                <w:szCs w:val="22"/>
              </w:rPr>
              <w:t xml:space="preserve">отношени</w:t>
            </w:r>
            <w:r>
              <w:rPr>
                <w:rFonts w:ascii="Times New Roman" w:hAnsi="Times New Roman"/>
                <w:szCs w:val="22"/>
              </w:rPr>
              <w:t xml:space="preserve">и</w:t>
            </w:r>
            <w:r>
              <w:rPr>
                <w:rFonts w:ascii="Times New Roman" w:hAnsi="Times New Roman"/>
                <w:szCs w:val="22"/>
              </w:rPr>
              <w:t xml:space="preserve"> родственник</w:t>
            </w:r>
            <w:r>
              <w:rPr>
                <w:rFonts w:ascii="Times New Roman" w:hAnsi="Times New Roman"/>
                <w:szCs w:val="22"/>
              </w:rPr>
              <w:t xml:space="preserve">ов</w:t>
            </w:r>
            <w:r>
              <w:rPr>
                <w:rFonts w:ascii="Times New Roman" w:hAnsi="Times New Roman"/>
                <w:szCs w:val="22"/>
              </w:rPr>
              <w:t xml:space="preserve"> работников</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perform the functions and assume powers and obligations imposed on the </w:t>
            </w:r>
            <w:r>
              <w:rPr>
                <w:rFonts w:ascii="Times New Roman" w:hAnsi="Times New Roman"/>
                <w:szCs w:val="22"/>
                <w:lang w:val="en-US"/>
              </w:rPr>
              <w:t xml:space="preserve">employer </w:t>
            </w:r>
            <w:r>
              <w:rPr>
                <w:rFonts w:ascii="Times New Roman" w:hAnsi="Times New Roman"/>
                <w:szCs w:val="22"/>
                <w:lang w:val="en-US"/>
              </w:rPr>
              <w:t xml:space="preserve">with respect to the employees’ relatives </w:t>
            </w:r>
            <w:r>
              <w:rPr>
                <w:rFonts w:ascii="Times New Roman" w:hAnsi="Times New Roman"/>
                <w:szCs w:val="22"/>
                <w:lang w:val="en-US"/>
              </w:rPr>
              <w:t xml:space="preserve">by Russian legislation and international treaties to which Russia is a party</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предоставления родственникам работников льгот и компенсаций;</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provide benefits and allowances, including insurance to the employees’ relatives;</w:t>
            </w:r>
            <w:r>
              <w:rPr>
                <w:rFonts w:ascii="Times New Roman" w:hAnsi="Times New Roman"/>
                <w:szCs w:val="22"/>
                <w:lang w:val="en-US"/>
              </w:rPr>
            </w:r>
          </w:p>
        </w:tc>
      </w:tr>
      <w:tr>
        <w:trPr>
          <w:trHeight w:val="566"/>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оформления миграционных и выездных документов для выезда за рубеж или въезда на территорию Российской Федерации, содействия в выполнении иных требований миграционного законодательства</w:t>
            </w:r>
            <w:r>
              <w:rPr>
                <w:rFonts w:ascii="Times New Roman" w:hAnsi="Times New Roman"/>
                <w:szCs w:val="22"/>
              </w:rPr>
              <w:t xml:space="preserve"> родственниками работников</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issue migration and travel documents to travel abroad or enter into the Russian Federation, assist </w:t>
            </w:r>
            <w:r>
              <w:rPr>
                <w:rFonts w:ascii="Times New Roman" w:hAnsi="Times New Roman"/>
                <w:szCs w:val="22"/>
                <w:lang w:val="en-US"/>
              </w:rPr>
              <w:t xml:space="preserve">the employees’ relatives </w:t>
            </w:r>
            <w:r>
              <w:rPr>
                <w:rFonts w:ascii="Times New Roman" w:hAnsi="Times New Roman"/>
                <w:szCs w:val="22"/>
                <w:lang w:val="en-US"/>
              </w:rPr>
              <w:t xml:space="preserve">with fulfilling other requirements of migration legislation;</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связи в экстренных ситуациях</w:t>
            </w:r>
            <w:r>
              <w:rPr>
                <w:rFonts w:ascii="Times New Roman" w:hAnsi="Times New Roman"/>
                <w:szCs w:val="22"/>
              </w:rPr>
              <w:t xml:space="preserve"> с родственниками работников</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w:t>
            </w:r>
            <w:r>
              <w:rPr>
                <w:rFonts w:ascii="Times New Roman" w:hAnsi="Times New Roman"/>
                <w:szCs w:val="22"/>
                <w:lang w:val="en-US"/>
              </w:rPr>
              <w:t xml:space="preserve">contact</w:t>
            </w:r>
            <w:r>
              <w:rPr>
                <w:rFonts w:ascii="Times New Roman" w:hAnsi="Times New Roman"/>
                <w:szCs w:val="22"/>
                <w:lang w:val="en-US"/>
              </w:rPr>
              <w:t xml:space="preserve"> </w:t>
            </w:r>
            <w:r>
              <w:rPr>
                <w:rFonts w:ascii="Times New Roman" w:hAnsi="Times New Roman"/>
                <w:szCs w:val="22"/>
                <w:lang w:val="en-US"/>
              </w:rPr>
              <w:t xml:space="preserve">the employees’ relatives </w:t>
            </w:r>
            <w:r>
              <w:rPr>
                <w:rFonts w:ascii="Times New Roman" w:hAnsi="Times New Roman"/>
                <w:szCs w:val="22"/>
                <w:lang w:val="en-US"/>
              </w:rPr>
              <w:t xml:space="preserve">in case of emergencies;</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организации корпоративных мероприятий</w:t>
            </w:r>
            <w:r>
              <w:rPr>
                <w:rFonts w:ascii="Times New Roman" w:hAnsi="Times New Roman"/>
                <w:szCs w:val="22"/>
              </w:rPr>
              <w:t xml:space="preserve"> в отношении родственников работников</w:t>
            </w:r>
            <w:r>
              <w:rPr>
                <w:rFonts w:ascii="Times New Roman" w:hAnsi="Times New Roman"/>
                <w:szCs w:val="22"/>
              </w:rPr>
              <w:t xml:space="preserve">, включая предоставление подарков детям;</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organize corporate events for the employees’ relatives</w:t>
            </w:r>
            <w:r>
              <w:rPr>
                <w:rFonts w:ascii="Times New Roman" w:hAnsi="Times New Roman"/>
                <w:szCs w:val="22"/>
                <w:lang w:val="en-US"/>
              </w:rPr>
              <w:t xml:space="preserve">, including giving gifts to children;</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осуществления и выполнения возложенных законодательством РФ и международными договорами РФ на оператора функций, полномочий и обязанностей</w:t>
            </w:r>
            <w:r>
              <w:rPr>
                <w:rFonts w:ascii="Times New Roman" w:hAnsi="Times New Roman"/>
                <w:szCs w:val="22"/>
              </w:rPr>
              <w:t xml:space="preserve"> </w:t>
            </w:r>
            <w:r>
              <w:rPr>
                <w:rFonts w:ascii="Times New Roman" w:hAnsi="Times New Roman"/>
                <w:szCs w:val="22"/>
              </w:rPr>
              <w:t xml:space="preserve">в отношении лиц, входящих в органы управления и лиц, устанавливающих (осуществляющих) контроль в отношении компании</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perform the functions and assume powers and obligati</w:t>
            </w:r>
            <w:r>
              <w:rPr>
                <w:rFonts w:ascii="Times New Roman" w:hAnsi="Times New Roman"/>
                <w:szCs w:val="22"/>
                <w:lang w:val="en-US"/>
              </w:rPr>
              <w:t xml:space="preserve">ons imposed on the operator by Russian legislation and international treaties to which Russia is a party with respect to the persons who are members of the company’s governing bodies and persons (entities) establishing (exercising) control over the company</w:t>
            </w:r>
            <w:r>
              <w:rPr>
                <w:rFonts w:ascii="Times New Roman" w:hAnsi="Times New Roman"/>
                <w:szCs w:val="22"/>
                <w:lang w:val="en-US"/>
              </w:rPr>
              <w:t xml:space="preserve">;</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взаимодействия в рамках группы компаний</w:t>
            </w:r>
            <w:r>
              <w:rPr>
                <w:rFonts w:ascii="Times New Roman" w:hAnsi="Times New Roman"/>
                <w:szCs w:val="22"/>
              </w:rPr>
              <w:t xml:space="preserve"> </w:t>
            </w:r>
            <w:r>
              <w:rPr>
                <w:rFonts w:ascii="Times New Roman" w:hAnsi="Times New Roman"/>
                <w:szCs w:val="22"/>
              </w:rPr>
              <w:t xml:space="preserve">в отношении работников группы компаний</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interact within the group of companies</w:t>
            </w:r>
            <w:r>
              <w:rPr>
                <w:rFonts w:ascii="Times New Roman" w:hAnsi="Times New Roman"/>
                <w:szCs w:val="22"/>
                <w:lang w:val="en-US"/>
              </w:rPr>
              <w:t xml:space="preserve"> with respect to the employees of the group of companies</w:t>
            </w:r>
            <w:r>
              <w:rPr>
                <w:rFonts w:ascii="Times New Roman" w:hAnsi="Times New Roman"/>
                <w:szCs w:val="22"/>
                <w:lang w:val="en-US"/>
              </w:rPr>
              <w:t xml:space="preserve">;</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заключения, изменения (в том числе продления) и исполнения договоров</w:t>
            </w:r>
            <w:r>
              <w:rPr>
                <w:rFonts w:ascii="Times New Roman" w:hAnsi="Times New Roman"/>
                <w:szCs w:val="22"/>
              </w:rPr>
              <w:t xml:space="preserve"> с клиентами и контрагентами – юридическими лицами</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conclude, amend (as well as extend) and perform contracts with clients and contracting parties that are legal entities</w:t>
            </w:r>
            <w:r>
              <w:rPr>
                <w:rFonts w:ascii="Times New Roman" w:hAnsi="Times New Roman"/>
                <w:szCs w:val="22"/>
                <w:lang w:val="en-US"/>
              </w:rPr>
              <w:t xml:space="preserve">;</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ведения переговоров, заключения и исполнения договоров</w:t>
            </w:r>
            <w:r>
              <w:rPr>
                <w:rFonts w:ascii="Times New Roman" w:hAnsi="Times New Roman"/>
                <w:szCs w:val="22"/>
              </w:rPr>
              <w:t xml:space="preserve"> с контрагентами – физическими лицами</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negotiate, conclude and perform contracts with contracting parties that are individuals</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коммуникации и взаимодействия с субъектом персональных данных, являющимся медицинским специалистом;</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communicate and interact with the personal data subject who is a medical expert;</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организации и/или проведения научных мероприятий, информационных мероприятий ИПСЕН, семинаров, лекций, публикации статей и материалов</w:t>
            </w:r>
            <w:r>
              <w:rPr>
                <w:rFonts w:ascii="Times New Roman" w:hAnsi="Times New Roman"/>
                <w:szCs w:val="22"/>
              </w:rPr>
              <w:t xml:space="preserve"> для специалистов здравоохранения</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organize and/or hold scientific events, IPSEN information events, seminars, lectures, publication of articles and materials for healthcare professionals</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направления запросов о потенциальном сотрудничестве (услуги KOL)</w:t>
            </w:r>
            <w:r>
              <w:rPr>
                <w:rFonts w:ascii="Times New Roman" w:hAnsi="Times New Roman"/>
                <w:szCs w:val="22"/>
              </w:rPr>
              <w:t xml:space="preserve"> специалистам здравоохранения</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w:t>
            </w:r>
            <w:r>
              <w:rPr>
                <w:rFonts w:ascii="Times New Roman" w:hAnsi="Times New Roman"/>
                <w:szCs w:val="22"/>
                <w:lang w:val="en-US"/>
              </w:rPr>
              <w:t xml:space="preserve">send requests for potential cooperation (KOL services)</w:t>
            </w:r>
            <w:r>
              <w:rPr>
                <w:rFonts w:ascii="Times New Roman" w:hAnsi="Times New Roman"/>
                <w:szCs w:val="22"/>
                <w:lang w:val="en-US"/>
              </w:rPr>
              <w:t xml:space="preserve"> to healthcare professionals</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обеспечения (административной поддержки) заполнения и обработки запрашиваемых ИПСЕН документов</w:t>
            </w:r>
            <w:r>
              <w:t xml:space="preserve"> </w:t>
            </w:r>
            <w:r>
              <w:rPr>
                <w:rFonts w:ascii="Times New Roman" w:hAnsi="Times New Roman"/>
                <w:szCs w:val="22"/>
              </w:rPr>
              <w:t xml:space="preserve">специалистов здравоохранения</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w:t>
            </w:r>
            <w:r>
              <w:rPr>
                <w:rFonts w:ascii="Times New Roman" w:hAnsi="Times New Roman"/>
                <w:szCs w:val="22"/>
                <w:lang w:val="en-US"/>
              </w:rPr>
              <w:t xml:space="preserve">provid</w:t>
            </w:r>
            <w:r>
              <w:rPr>
                <w:rFonts w:ascii="Times New Roman" w:hAnsi="Times New Roman"/>
                <w:szCs w:val="22"/>
                <w:lang w:val="en-US"/>
              </w:rPr>
              <w:t xml:space="preserve">e</w:t>
            </w:r>
            <w:r>
              <w:rPr>
                <w:rFonts w:ascii="Times New Roman" w:hAnsi="Times New Roman"/>
                <w:szCs w:val="22"/>
                <w:lang w:val="en-US"/>
              </w:rPr>
              <w:t xml:space="preserve"> (administrative support) filling and processing of </w:t>
            </w:r>
            <w:r>
              <w:rPr>
                <w:rFonts w:ascii="Times New Roman" w:hAnsi="Times New Roman"/>
                <w:szCs w:val="22"/>
                <w:lang w:val="en-US"/>
              </w:rPr>
              <w:t xml:space="preserve">healthcare professionals’ </w:t>
            </w:r>
            <w:r>
              <w:rPr>
                <w:rFonts w:ascii="Times New Roman" w:hAnsi="Times New Roman"/>
                <w:szCs w:val="22"/>
                <w:lang w:val="en-US"/>
              </w:rPr>
              <w:t xml:space="preserve">documents requested by IPSEN;</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взаимодействия с субъектом персональных данных по вопросам клинических исследований</w:t>
            </w:r>
            <w:r>
              <w:rPr>
                <w:rFonts w:ascii="Times New Roman" w:hAnsi="Times New Roman"/>
                <w:szCs w:val="22"/>
              </w:rPr>
              <w:t xml:space="preserve"> в отношении специалистов здравоохранения</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w:t>
            </w:r>
            <w:r>
              <w:rPr>
                <w:rFonts w:ascii="Times New Roman" w:hAnsi="Times New Roman"/>
                <w:szCs w:val="22"/>
                <w:lang w:val="en-US"/>
              </w:rPr>
              <w:t xml:space="preserve">interact</w:t>
            </w:r>
            <w:r>
              <w:rPr>
                <w:rFonts w:ascii="Times New Roman" w:hAnsi="Times New Roman"/>
                <w:szCs w:val="22"/>
                <w:lang w:val="en-US"/>
              </w:rPr>
              <w:t xml:space="preserve"> </w:t>
            </w:r>
            <w:r>
              <w:rPr>
                <w:rFonts w:ascii="Times New Roman" w:hAnsi="Times New Roman"/>
                <w:szCs w:val="22"/>
                <w:lang w:val="en-US"/>
              </w:rPr>
              <w:t xml:space="preserve">with the subject of personal data on issues of clinical trials</w:t>
            </w:r>
            <w:r>
              <w:rPr>
                <w:rFonts w:ascii="Times New Roman" w:hAnsi="Times New Roman"/>
                <w:szCs w:val="22"/>
                <w:lang w:val="en-US"/>
              </w:rPr>
              <w:t xml:space="preserve"> with respect to healthcare professionals</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обработки запросов на предоставление </w:t>
            </w:r>
            <w:r>
              <w:rPr>
                <w:rFonts w:ascii="Times New Roman" w:hAnsi="Times New Roman"/>
                <w:szCs w:val="22"/>
              </w:rPr>
              <w:t xml:space="preserve">медицинской </w:t>
            </w:r>
            <w:r>
              <w:rPr>
                <w:rFonts w:ascii="Times New Roman" w:hAnsi="Times New Roman"/>
                <w:szCs w:val="22"/>
              </w:rPr>
              <w:t xml:space="preserve">информации</w:t>
            </w:r>
            <w:r>
              <w:rPr>
                <w:rFonts w:ascii="Times New Roman" w:hAnsi="Times New Roman"/>
                <w:szCs w:val="22"/>
              </w:rPr>
              <w:t xml:space="preserve"> в отношении специалистов здравоохранения</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w:t>
            </w:r>
            <w:r>
              <w:rPr>
                <w:rFonts w:ascii="Times New Roman" w:hAnsi="Times New Roman"/>
                <w:szCs w:val="22"/>
                <w:lang w:val="en-US"/>
              </w:rPr>
              <w:t xml:space="preserve">process requests for the provision of medical information</w:t>
            </w:r>
            <w:r>
              <w:rPr>
                <w:lang w:val="en-US"/>
              </w:rPr>
              <w:t xml:space="preserve"> </w:t>
            </w:r>
            <w:r>
              <w:rPr>
                <w:rFonts w:ascii="Times New Roman" w:hAnsi="Times New Roman"/>
                <w:szCs w:val="22"/>
                <w:lang w:val="en-US"/>
              </w:rPr>
              <w:t xml:space="preserve">with respect to healthcare professionals</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взаимодействия с субъектом персональных данных по вопросам раскр</w:t>
            </w:r>
            <w:r>
              <w:rPr>
                <w:rFonts w:ascii="Times New Roman" w:hAnsi="Times New Roman"/>
                <w:szCs w:val="22"/>
              </w:rPr>
              <w:t xml:space="preserve">ытия информации о медицинских специалистах в соответствии с применимым законодательством и регулированием (включая саморегулирование), в том числе в соответствии с Кодексом надлежащей практики Ассоциации международных фармацевтических производителей (AIPM)</w:t>
            </w:r>
            <w:r>
              <w:rPr>
                <w:rFonts w:ascii="Times New Roman" w:hAnsi="Times New Roman"/>
                <w:szCs w:val="22"/>
              </w:rPr>
              <w:t xml:space="preserve"> в отношении специалистов здравоохранения</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w:t>
            </w:r>
            <w:r>
              <w:rPr>
                <w:rFonts w:ascii="Times New Roman" w:hAnsi="Times New Roman"/>
                <w:szCs w:val="22"/>
                <w:lang w:val="en-US"/>
              </w:rPr>
              <w:t xml:space="preserve">interact with the subject of personal data on the di</w:t>
            </w:r>
            <w:r>
              <w:rPr>
                <w:rFonts w:ascii="Times New Roman" w:hAnsi="Times New Roman"/>
                <w:szCs w:val="22"/>
                <w:lang w:val="en-US"/>
              </w:rPr>
              <w:t xml:space="preserve">sclosure of information about medical professionals in accordance with applicable law and regulation (including self-regulation), including in accordance with the Code of Good Practice of the Association of International Pharmaceutical Manufacturers (AIPM)</w:t>
            </w:r>
            <w:r>
              <w:rPr>
                <w:rFonts w:ascii="Times New Roman" w:hAnsi="Times New Roman"/>
                <w:szCs w:val="22"/>
                <w:lang w:val="en-US"/>
              </w:rPr>
              <w:t xml:space="preserve"> with respect to healthcare professionals</w:t>
            </w:r>
            <w:r>
              <w:rPr>
                <w:rFonts w:ascii="Times New Roman" w:hAnsi="Times New Roman"/>
                <w:szCs w:val="22"/>
                <w:lang w:val="en-US"/>
              </w:rPr>
              <w:t xml:space="preserve">;</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формирования справочника врачей для размещения на соответствующем веб-сайте</w:t>
            </w:r>
            <w:r>
              <w:rPr>
                <w:rFonts w:ascii="Times New Roman" w:hAnsi="Times New Roman"/>
                <w:szCs w:val="22"/>
              </w:rPr>
              <w:t xml:space="preserve"> в отношении специалистов здравоохранения</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compile a physician directory to be posted on the relevant website</w:t>
            </w:r>
            <w:r>
              <w:rPr>
                <w:rFonts w:ascii="Times New Roman" w:hAnsi="Times New Roman"/>
                <w:szCs w:val="22"/>
                <w:lang w:val="en-US"/>
              </w:rPr>
              <w:t xml:space="preserve"> with respect to healthcare professionals</w:t>
            </w:r>
            <w:r>
              <w:rPr>
                <w:rFonts w:ascii="Times New Roman" w:hAnsi="Times New Roman"/>
                <w:szCs w:val="22"/>
                <w:lang w:val="en-US"/>
              </w:rPr>
              <w:t xml:space="preserve">;</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обработки обращений </w:t>
            </w:r>
            <w:r>
              <w:rPr>
                <w:rFonts w:ascii="Times New Roman" w:hAnsi="Times New Roman"/>
                <w:szCs w:val="22"/>
              </w:rPr>
              <w:t xml:space="preserve">потребителей и репортеров</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handle </w:t>
            </w:r>
            <w:r>
              <w:rPr>
                <w:rFonts w:ascii="Times New Roman" w:hAnsi="Times New Roman"/>
                <w:szCs w:val="22"/>
                <w:lang w:val="en-US"/>
              </w:rPr>
              <w:t xml:space="preserve">consumer or reporter applications</w:t>
            </w:r>
            <w:r>
              <w:rPr>
                <w:rFonts w:ascii="Times New Roman" w:hAnsi="Times New Roman"/>
                <w:szCs w:val="22"/>
                <w:lang w:val="en-US"/>
              </w:rPr>
              <w:t xml:space="preserve">;</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rPr>
            </w:pPr>
            <w:r>
              <w:rPr>
                <w:rFonts w:ascii="Times New Roman" w:hAnsi="Times New Roman"/>
                <w:szCs w:val="22"/>
              </w:rPr>
              <w:t xml:space="preserve">исполнения требований мониторинга эффективности и безопасности лекарственных средств, в частности </w:t>
            </w:r>
            <w:r>
              <w:rPr>
                <w:rFonts w:ascii="Times New Roman" w:hAnsi="Times New Roman"/>
                <w:szCs w:val="22"/>
              </w:rPr>
              <w:t xml:space="preserve">Фармаконадзора</w:t>
            </w:r>
            <w:r>
              <w:rPr>
                <w:rFonts w:ascii="Times New Roman" w:hAnsi="Times New Roman"/>
                <w:szCs w:val="22"/>
              </w:rPr>
              <w:t xml:space="preserve"> (в том числе по обработке обращений с информацией по безопасности продуктов, побочных </w:t>
            </w:r>
            <w:r>
              <w:rPr>
                <w:rFonts w:ascii="Times New Roman" w:hAnsi="Times New Roman"/>
                <w:szCs w:val="22"/>
              </w:rPr>
              <w:t xml:space="preserve">действиях и нежелательных реакциях)</w:t>
            </w:r>
            <w:r>
              <w:rPr>
                <w:rFonts w:ascii="Times New Roman" w:hAnsi="Times New Roman"/>
                <w:szCs w:val="22"/>
              </w:rPr>
              <w:t xml:space="preserve"> в отношении потребителей и репортеров</w:t>
            </w:r>
            <w:r>
              <w:rPr>
                <w:rFonts w:ascii="Times New Roman" w:hAnsi="Times New Roman"/>
                <w:szCs w:val="22"/>
              </w:rPr>
              <w:t xml:space="preserve">;</w:t>
            </w:r>
            <w:r>
              <w:rPr>
                <w:rFonts w:ascii="Times New Roman" w:hAnsi="Times New Roman"/>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lang w:val="en-US"/>
              </w:rPr>
            </w:pPr>
            <w:r>
              <w:rPr>
                <w:rFonts w:ascii="Times New Roman" w:hAnsi="Times New Roman"/>
                <w:szCs w:val="22"/>
                <w:lang w:val="en-US"/>
              </w:rPr>
              <w:t xml:space="preserve">to comply with the requirements for monitoring efficiency and safety of medicines, specifically Pharmacovigilance requirements (including when complaints are handled regarding the safety of products, </w:t>
            </w:r>
            <w:r>
              <w:rPr>
                <w:rFonts w:ascii="Times New Roman" w:hAnsi="Times New Roman"/>
                <w:szCs w:val="22"/>
                <w:lang w:val="en-US"/>
              </w:rPr>
              <w:t xml:space="preserve">side-effects and adverse drug reaction)</w:t>
            </w:r>
            <w:r>
              <w:rPr>
                <w:rFonts w:ascii="Times New Roman" w:hAnsi="Times New Roman"/>
                <w:szCs w:val="22"/>
                <w:lang w:val="en-US"/>
              </w:rPr>
              <w:t xml:space="preserve"> with respect to consumers and reporters</w:t>
            </w:r>
            <w:r>
              <w:rPr>
                <w:rFonts w:ascii="Times New Roman" w:hAnsi="Times New Roman"/>
                <w:szCs w:val="22"/>
                <w:lang w:val="en-US"/>
              </w:rPr>
              <w:t xml:space="preserve">;</w:t>
            </w:r>
            <w:r>
              <w:rPr>
                <w:rFonts w:ascii="Times New Roman" w:hAnsi="Times New Roman"/>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проведения мероприятий и обеспечения участия в них субъектов персональных данных</w:t>
            </w:r>
            <w:r>
              <w:rPr>
                <w:rFonts w:ascii="Times New Roman" w:hAnsi="Times New Roman"/>
                <w:szCs w:val="22"/>
              </w:rPr>
              <w:t xml:space="preserve"> </w:t>
            </w:r>
            <w:r>
              <w:rPr>
                <w:rFonts w:ascii="Times New Roman" w:hAnsi="Times New Roman"/>
                <w:szCs w:val="22"/>
              </w:rPr>
              <w:t xml:space="preserve">в отношении посетителей мероприятий</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to hold events and ensure that personal data subjects participate in such events</w:t>
            </w:r>
            <w:r>
              <w:rPr>
                <w:rFonts w:ascii="Times New Roman" w:hAnsi="Times New Roman"/>
                <w:szCs w:val="22"/>
                <w:lang w:val="en-US"/>
              </w:rPr>
              <w:t xml:space="preserve"> with respect to visitors of events</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rPr>
            </w:pPr>
            <w:r/>
            <w:bookmarkStart w:id="7" w:name="_Toc889175"/>
            <w:r/>
            <w:bookmarkStart w:id="8" w:name="_Toc27146056"/>
            <w:r>
              <w:rPr>
                <w:rFonts w:ascii="Times New Roman" w:hAnsi="Times New Roman" w:cs="Times New Roman"/>
                <w:b/>
              </w:rPr>
              <w:t xml:space="preserve">Правовые основания обработки персональных данных</w:t>
            </w:r>
            <w:bookmarkEnd w:id="7"/>
            <w:r/>
            <w:bookmarkEnd w:id="8"/>
            <w:r/>
            <w:r>
              <w:rPr>
                <w:rFonts w:ascii="Times New Roman" w:hAnsi="Times New Roman"/>
              </w:rPr>
            </w:r>
          </w:p>
        </w:tc>
        <w:tc>
          <w:tcPr>
            <w:tcW w:w="4785" w:type="dxa"/>
            <w:textDirection w:val="lrTb"/>
            <w:noWrap w:val="false"/>
          </w:tcPr>
          <w:p>
            <w:pPr>
              <w:pStyle w:val="1067"/>
              <w:numPr>
                <w:ilvl w:val="0"/>
                <w:numId w:val="38"/>
              </w:numPr>
              <w:contextualSpacing w:val="0"/>
              <w:ind w:left="567" w:hanging="567"/>
              <w:jc w:val="center"/>
              <w:keepNext/>
              <w:spacing w:before="120" w:after="240" w:line="240" w:lineRule="auto"/>
              <w:rPr>
                <w:rFonts w:ascii="Times New Roman" w:hAnsi="Times New Roman"/>
                <w:lang w:val="en-US"/>
              </w:rPr>
            </w:pPr>
            <w:r>
              <w:rPr>
                <w:rFonts w:ascii="Times New Roman" w:hAnsi="Times New Roman"/>
                <w:b/>
                <w:lang w:val="en-US"/>
              </w:rPr>
              <w:t xml:space="preserve">Legal grounds for processing personal data</w:t>
            </w:r>
            <w:r>
              <w:rPr>
                <w:rFonts w:ascii="Times New Roman" w:hAnsi="Times New Roman"/>
                <w:lang w:val="en-US"/>
              </w:rPr>
            </w:r>
          </w:p>
        </w:tc>
      </w:tr>
      <w:tr>
        <w:trPr>
          <w:trHeight w:val="80"/>
        </w:trPr>
        <w:tc>
          <w:tcPr>
            <w:tcW w:w="4785" w:type="dxa"/>
            <w:textDirection w:val="lrTb"/>
            <w:noWrap w:val="false"/>
          </w:tcPr>
          <w:p>
            <w:pPr>
              <w:pStyle w:val="1067"/>
              <w:numPr>
                <w:ilvl w:val="1"/>
                <w:numId w:val="38"/>
              </w:numPr>
              <w:ind w:left="567" w:hanging="567"/>
              <w:jc w:val="both"/>
              <w:spacing w:after="240" w:line="240" w:lineRule="auto"/>
              <w:widowControl w:val="off"/>
              <w:rPr>
                <w:rFonts w:ascii="Times New Roman" w:hAnsi="Times New Roman" w:eastAsia="Times New Roman" w:cs="Times New Roman"/>
                <w:lang w:eastAsia="ru-RU"/>
              </w:rPr>
            </w:pPr>
            <w:r>
              <w:rPr>
                <w:rFonts w:ascii="Times New Roman" w:hAnsi="Times New Roman" w:cs="Times New Roman"/>
              </w:rPr>
              <w:t xml:space="preserve">Правовыми основаниями для обработки </w:t>
            </w:r>
            <w:r>
              <w:rPr>
                <w:rFonts w:ascii="Times New Roman" w:hAnsi="Times New Roman" w:cs="Times New Roman"/>
              </w:rPr>
              <w:t xml:space="preserve">ПДн</w:t>
            </w:r>
            <w:r>
              <w:rPr>
                <w:rFonts w:ascii="Times New Roman" w:hAnsi="Times New Roman" w:cs="Times New Roman"/>
              </w:rPr>
              <w:t xml:space="preserve"> являются, в том числе:</w:t>
            </w:r>
            <w:r>
              <w:rPr>
                <w:rFonts w:ascii="Times New Roman" w:hAnsi="Times New Roman" w:eastAsia="Times New Roman" w:cs="Times New Roman"/>
                <w:lang w:eastAsia="ru-RU"/>
              </w:rPr>
            </w:r>
          </w:p>
        </w:tc>
        <w:tc>
          <w:tcPr>
            <w:tcW w:w="4785" w:type="dxa"/>
            <w:textDirection w:val="lrTb"/>
            <w:noWrap w:val="false"/>
          </w:tcPr>
          <w:p>
            <w:pPr>
              <w:pStyle w:val="1067"/>
              <w:numPr>
                <w:ilvl w:val="1"/>
                <w:numId w:val="39"/>
              </w:numPr>
              <w:ind w:left="573" w:hanging="573"/>
              <w:jc w:val="both"/>
              <w:spacing w:after="240" w:line="240" w:lineRule="auto"/>
              <w:widowControl w:val="off"/>
              <w:rPr>
                <w:rFonts w:ascii="Times New Roman" w:hAnsi="Times New Roman" w:eastAsia="Times New Roman" w:cs="Times New Roman"/>
                <w:lang w:val="en-US"/>
              </w:rPr>
            </w:pPr>
            <w:r>
              <w:rPr>
                <w:rFonts w:ascii="Times New Roman" w:hAnsi="Times New Roman"/>
                <w:lang w:val="en-US"/>
              </w:rPr>
              <w:t xml:space="preserve">The following, among others, constitute the legal grounds for processing </w:t>
            </w:r>
            <w:r>
              <w:rPr>
                <w:rFonts w:ascii="Times New Roman" w:hAnsi="Times New Roman"/>
                <w:lang w:val="en-US"/>
              </w:rPr>
              <w:t xml:space="preserve">the </w:t>
            </w:r>
            <w:r>
              <w:rPr>
                <w:rFonts w:ascii="Times New Roman" w:hAnsi="Times New Roman"/>
                <w:lang w:val="en-US"/>
              </w:rPr>
              <w:t xml:space="preserve">PD: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Гражданский кодекс Российской Федерации;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the</w:t>
            </w:r>
            <w:r>
              <w:rPr>
                <w:rFonts w:ascii="Times New Roman" w:hAnsi="Times New Roman"/>
                <w:szCs w:val="22"/>
              </w:rPr>
              <w:t xml:space="preserve"> </w:t>
            </w:r>
            <w:r>
              <w:rPr>
                <w:rFonts w:ascii="Times New Roman" w:hAnsi="Times New Roman"/>
                <w:szCs w:val="22"/>
              </w:rPr>
              <w:t xml:space="preserve">Russian</w:t>
            </w:r>
            <w:r>
              <w:rPr>
                <w:rFonts w:ascii="Times New Roman" w:hAnsi="Times New Roman"/>
                <w:szCs w:val="22"/>
              </w:rPr>
              <w:t xml:space="preserve"> </w:t>
            </w:r>
            <w:r>
              <w:rPr>
                <w:rFonts w:ascii="Times New Roman" w:hAnsi="Times New Roman"/>
                <w:szCs w:val="22"/>
              </w:rPr>
              <w:t xml:space="preserve">Civil</w:t>
            </w:r>
            <w:r>
              <w:rPr>
                <w:rFonts w:ascii="Times New Roman" w:hAnsi="Times New Roman"/>
                <w:szCs w:val="22"/>
              </w:rPr>
              <w:t xml:space="preserve"> </w:t>
            </w:r>
            <w:r>
              <w:rPr>
                <w:rFonts w:ascii="Times New Roman" w:hAnsi="Times New Roman"/>
                <w:szCs w:val="22"/>
              </w:rPr>
              <w:t xml:space="preserve">Code</w:t>
            </w:r>
            <w:r>
              <w:rPr>
                <w:rFonts w:ascii="Times New Roman" w:hAnsi="Times New Roman"/>
                <w:szCs w:val="22"/>
              </w:rPr>
              <w:t xml:space="preserve">;</w:t>
            </w:r>
            <w:r>
              <w:rPr>
                <w:rFonts w:ascii="Times New Roman" w:hAnsi="Times New Roman"/>
                <w:szCs w:val="22"/>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Трудовой кодекс Российской Федерации;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the</w:t>
            </w:r>
            <w:r>
              <w:rPr>
                <w:rFonts w:ascii="Times New Roman" w:hAnsi="Times New Roman"/>
                <w:szCs w:val="22"/>
              </w:rPr>
              <w:t xml:space="preserve"> </w:t>
            </w:r>
            <w:r>
              <w:rPr>
                <w:rFonts w:ascii="Times New Roman" w:hAnsi="Times New Roman"/>
                <w:szCs w:val="22"/>
              </w:rPr>
              <w:t xml:space="preserve">Russian</w:t>
            </w:r>
            <w:r>
              <w:rPr>
                <w:rFonts w:ascii="Times New Roman" w:hAnsi="Times New Roman"/>
                <w:szCs w:val="22"/>
              </w:rPr>
              <w:t xml:space="preserve"> </w:t>
            </w:r>
            <w:r>
              <w:rPr>
                <w:rFonts w:ascii="Times New Roman" w:hAnsi="Times New Roman"/>
                <w:szCs w:val="22"/>
              </w:rPr>
              <w:t xml:space="preserve">Labour</w:t>
            </w:r>
            <w:r>
              <w:rPr>
                <w:rFonts w:ascii="Times New Roman" w:hAnsi="Times New Roman"/>
                <w:szCs w:val="22"/>
              </w:rPr>
              <w:t xml:space="preserve"> </w:t>
            </w:r>
            <w:r>
              <w:rPr>
                <w:rFonts w:ascii="Times New Roman" w:hAnsi="Times New Roman"/>
                <w:szCs w:val="22"/>
              </w:rPr>
              <w:t xml:space="preserve">Code</w:t>
            </w:r>
            <w:r>
              <w:rPr>
                <w:rFonts w:ascii="Times New Roman" w:hAnsi="Times New Roman"/>
                <w:szCs w:val="22"/>
              </w:rPr>
              <w:t xml:space="preserve">;</w:t>
            </w:r>
            <w:r>
              <w:rPr>
                <w:rFonts w:ascii="Times New Roman" w:hAnsi="Times New Roman"/>
                <w:szCs w:val="22"/>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Налоговый кодекс Российской Федерации;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the</w:t>
            </w:r>
            <w:r>
              <w:rPr>
                <w:rFonts w:ascii="Times New Roman" w:hAnsi="Times New Roman"/>
                <w:szCs w:val="22"/>
              </w:rPr>
              <w:t xml:space="preserve"> </w:t>
            </w:r>
            <w:r>
              <w:rPr>
                <w:rFonts w:ascii="Times New Roman" w:hAnsi="Times New Roman"/>
                <w:szCs w:val="22"/>
              </w:rPr>
              <w:t xml:space="preserve">Russian</w:t>
            </w:r>
            <w:r>
              <w:rPr>
                <w:rFonts w:ascii="Times New Roman" w:hAnsi="Times New Roman"/>
                <w:szCs w:val="22"/>
              </w:rPr>
              <w:t xml:space="preserve"> </w:t>
            </w:r>
            <w:r>
              <w:rPr>
                <w:rFonts w:ascii="Times New Roman" w:hAnsi="Times New Roman"/>
                <w:szCs w:val="22"/>
              </w:rPr>
              <w:t xml:space="preserve">Tax</w:t>
            </w:r>
            <w:r>
              <w:rPr>
                <w:rFonts w:ascii="Times New Roman" w:hAnsi="Times New Roman"/>
                <w:szCs w:val="22"/>
              </w:rPr>
              <w:t xml:space="preserve"> </w:t>
            </w:r>
            <w:r>
              <w:rPr>
                <w:rFonts w:ascii="Times New Roman" w:hAnsi="Times New Roman"/>
                <w:szCs w:val="22"/>
              </w:rPr>
              <w:t xml:space="preserve">Code</w:t>
            </w:r>
            <w:r>
              <w:rPr>
                <w:rFonts w:ascii="Times New Roman" w:hAnsi="Times New Roman"/>
                <w:szCs w:val="22"/>
              </w:rPr>
              <w:t xml:space="preserve">;</w:t>
            </w:r>
            <w:r>
              <w:rPr>
                <w:rFonts w:ascii="Times New Roman" w:hAnsi="Times New Roman"/>
                <w:szCs w:val="22"/>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15.12.2001 № 167-ФЗ «Об обязательном пенсионном страховании в Российской Федерации»;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135-FZ “On compulsory pension insurance in the Russian Federation” dated 15 December 2001;</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125-FZ “On compulsory social insurance against workplace accidents and occupational diseases” dated 24 July 1998;</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29.12.2006 № 255-ФЗ «Об обязательном социальном страховании на случай временной нетрудоспособности и в связи с материнством»;</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“On compulsory social insurance against temporary incapacity for work and in connection with maternity leave” dated 29 December 2006;</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06.04.2011 № 63-ФЗ «Об электронной подписи»;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174-FZ “On electronic signature” dated 6 April 2011;</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01.04.1996 № 27-ФЗ «Об индивидуальном (персонифицированном) учете в системе обязательного пенсионного страхования»;</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27-FZ “On individual (personified) record-keeping in the compulsory pension insurance system” dated 1 April 1996;</w:t>
            </w:r>
            <w:r>
              <w:rPr>
                <w:rFonts w:ascii="Times New Roman" w:hAnsi="Times New Roman"/>
                <w:szCs w:val="22"/>
                <w:lang w:val="en-US"/>
              </w:rPr>
            </w:r>
          </w:p>
        </w:tc>
      </w:tr>
      <w:tr>
        <w:trPr>
          <w:trHeight w:val="96"/>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28.03.1998 № 53-ФЗ «О воинской обязанности и военной службе»;</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53-FZ “On military duty and military service” dated 28 March 1998;</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«Основы законодательства Российской Федерации о нотариате» от 11.02.1993 № 4462-1;</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No. 4462-1 “The Fundamental Principles of the Legislation of the Russian Federation on Notaries” dated 11 February 1993;</w:t>
            </w:r>
            <w:r>
              <w:rPr>
                <w:rFonts w:ascii="Times New Roman" w:hAnsi="Times New Roman"/>
                <w:szCs w:val="22"/>
                <w:lang w:val="en-US"/>
              </w:rPr>
            </w:r>
          </w:p>
        </w:tc>
      </w:tr>
      <w:tr>
        <w:trPr>
          <w:trHeight w:val="346"/>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Закон РФ от 19.04.1991 № 1032-1 «О занятости населения в Российской Федерации»;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Russian Law No. 1032-1 “On employment in the Russian Federation” dated 19 April 1991;</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28.12.2013 № 426-ФЗ «О специальной оценке условий труда»;</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426-FZ “On special assessment of working conditions” dated 28 December 2013;</w:t>
            </w:r>
            <w:r>
              <w:rPr>
                <w:rFonts w:ascii="Times New Roman" w:hAnsi="Times New Roman"/>
                <w:szCs w:val="22"/>
                <w:lang w:val="en-US"/>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12.04.2010 № 61-ФЗ «Об обращении лекарственных средств»;</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61-FZ “On the circulation of medicines” dated 12 April 2010;</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Закон РФ от 07.02.1992 № 2300-1 «О защите прав потребителей»;</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Russian Law No. 2300-1 “On the protection of consumer rights” dated 7 February 1992;</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24.11.1995 № 181-ФЗ «О социальной защите инвалидов в Российской Федерации»;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Russian Federal Law No. 181-FZ "On social protection of disabled persons in the Russian Federation" of 24 November 1995;</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Федеральный закон от 07.08.2001 № 115-ФЗ «О противодействии легализации (отмыванию) доходов, полученных преступным путем, и финансированию терроризма»;</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Federal Law No. 115-FZ of 7 August 2001 “On combating </w:t>
            </w:r>
            <w:r>
              <w:rPr>
                <w:rFonts w:ascii="Times New Roman" w:hAnsi="Times New Roman"/>
                <w:szCs w:val="22"/>
                <w:lang w:val="en-US"/>
              </w:rPr>
              <w:t xml:space="preserve">legalisation</w:t>
            </w:r>
            <w:r>
              <w:rPr>
                <w:rFonts w:ascii="Times New Roman" w:hAnsi="Times New Roman"/>
                <w:szCs w:val="22"/>
                <w:lang w:val="en-US"/>
              </w:rPr>
              <w:t xml:space="preserve"> (laundering) of illegally gained income and financing of terrorism”;</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Устав Компании;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the</w:t>
            </w:r>
            <w:r>
              <w:rPr>
                <w:rFonts w:ascii="Times New Roman" w:hAnsi="Times New Roman"/>
                <w:szCs w:val="22"/>
              </w:rPr>
              <w:t xml:space="preserve"> </w:t>
            </w:r>
            <w:r>
              <w:rPr>
                <w:rFonts w:ascii="Times New Roman" w:hAnsi="Times New Roman"/>
                <w:szCs w:val="22"/>
              </w:rPr>
              <w:t xml:space="preserve">Company’s</w:t>
            </w:r>
            <w:r>
              <w:rPr>
                <w:rFonts w:ascii="Times New Roman" w:hAnsi="Times New Roman"/>
                <w:szCs w:val="22"/>
              </w:rPr>
              <w:t xml:space="preserve"> </w:t>
            </w:r>
            <w:r>
              <w:rPr>
                <w:rFonts w:ascii="Times New Roman" w:hAnsi="Times New Roman"/>
                <w:szCs w:val="22"/>
              </w:rPr>
              <w:t xml:space="preserve">charter</w:t>
            </w:r>
            <w:r>
              <w:rPr>
                <w:rFonts w:ascii="Times New Roman" w:hAnsi="Times New Roman"/>
                <w:szCs w:val="22"/>
              </w:rPr>
              <w:t xml:space="preserve">;</w:t>
            </w:r>
            <w:r>
              <w:rPr>
                <w:rFonts w:ascii="Times New Roman" w:hAnsi="Times New Roman"/>
                <w:szCs w:val="22"/>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Договоры, заключаемые между Компанией и ее контрагентами;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Contracts concluded between the Company and its contracting parties;</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Договоры, заключаемые с субъектами </w:t>
            </w:r>
            <w:r>
              <w:rPr>
                <w:rFonts w:ascii="Times New Roman" w:hAnsi="Times New Roman"/>
                <w:szCs w:val="22"/>
              </w:rPr>
              <w:t xml:space="preserve">ПДн</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Contracts concluded with personal data subjects;</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Согласия субъектов </w:t>
            </w:r>
            <w:r>
              <w:rPr>
                <w:rFonts w:ascii="Times New Roman" w:hAnsi="Times New Roman"/>
                <w:szCs w:val="22"/>
              </w:rPr>
              <w:t xml:space="preserve">ПДн</w:t>
            </w:r>
            <w:r>
              <w:rPr>
                <w:rFonts w:ascii="Times New Roman" w:hAnsi="Times New Roman"/>
                <w:szCs w:val="22"/>
              </w:rPr>
              <w:t xml:space="preserve"> на обработку</w:t>
            </w:r>
            <w:r>
              <w:rPr>
                <w:rFonts w:ascii="Times New Roman" w:hAnsi="Times New Roman"/>
                <w:szCs w:val="22"/>
              </w:rPr>
              <w:t xml:space="preserve"> </w:t>
            </w:r>
            <w:r>
              <w:rPr>
                <w:rFonts w:ascii="Times New Roman" w:hAnsi="Times New Roman"/>
                <w:szCs w:val="22"/>
              </w:rPr>
              <w:t xml:space="preserve">ПДн</w:t>
            </w:r>
            <w:r>
              <w:rPr>
                <w:rFonts w:ascii="Times New Roman" w:hAnsi="Times New Roman"/>
                <w:szCs w:val="22"/>
              </w:rPr>
              <w:t xml:space="preserve"> работников, кандидатов, родственников работников, </w:t>
            </w:r>
            <w:r>
              <w:rPr>
                <w:rFonts w:ascii="Times New Roman" w:hAnsi="Times New Roman"/>
                <w:szCs w:val="22"/>
              </w:rPr>
              <w:t xml:space="preserve">работников группы компаний, представителей клиентов и контрагентов – юридических лиц, специалистов здравоохранения, посетителей мероприятий</w:t>
            </w:r>
            <w:r>
              <w:rPr>
                <w:rFonts w:ascii="Times New Roman" w:hAnsi="Times New Roman"/>
                <w:szCs w:val="22"/>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Consents of personal data subjects</w:t>
            </w:r>
            <w:r>
              <w:rPr>
                <w:rFonts w:ascii="Times New Roman" w:hAnsi="Times New Roman"/>
                <w:szCs w:val="22"/>
                <w:lang w:val="en-US"/>
              </w:rPr>
              <w:t xml:space="preserve"> for processing of personal data of employees, candidates, relatives of employees, employees of the group of companies, representatives of clients and contracting parties that are legal entities, healthcare professionals and visitors of events</w:t>
            </w:r>
            <w:r>
              <w:rPr>
                <w:rFonts w:ascii="Times New Roman" w:hAnsi="Times New Roman"/>
                <w:szCs w:val="22"/>
                <w:lang w:val="en-US"/>
              </w:rPr>
              <w:t xml:space="preserve">.</w:t>
            </w:r>
            <w:r>
              <w:rPr>
                <w:rFonts w:ascii="Times New Roman" w:hAnsi="Times New Roman"/>
                <w:szCs w:val="22"/>
                <w:lang w:val="en-US"/>
              </w:rPr>
            </w:r>
          </w:p>
        </w:tc>
      </w:tr>
      <w:tr>
        <w:trPr>
          <w:trHeight w:val="887"/>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cs="Times New Roman"/>
                <w:b/>
                <w:lang w:val="en-US"/>
              </w:rPr>
            </w:pPr>
            <w:r/>
            <w:bookmarkStart w:id="9" w:name="_Toc889176"/>
            <w:r/>
            <w:bookmarkStart w:id="10" w:name="_Toc27146057"/>
            <w:r>
              <w:rPr>
                <w:rFonts w:ascii="Times New Roman" w:hAnsi="Times New Roman" w:cs="Times New Roman"/>
                <w:b/>
                <w:lang w:val="en-US"/>
              </w:rPr>
              <w:t xml:space="preserve">Обрабатываемые</w:t>
            </w:r>
            <w:r>
              <w:rPr>
                <w:rFonts w:ascii="Times New Roman" w:hAnsi="Times New Roman" w:cs="Times New Roman"/>
                <w:b/>
                <w:lang w:val="en-US"/>
              </w:rPr>
              <w:t xml:space="preserve"> </w:t>
            </w:r>
            <w:r>
              <w:rPr>
                <w:rFonts w:ascii="Times New Roman" w:hAnsi="Times New Roman" w:cs="Times New Roman"/>
                <w:b/>
                <w:lang w:val="en-US"/>
              </w:rPr>
              <w:t xml:space="preserve">персональные</w:t>
            </w:r>
            <w:r>
              <w:rPr>
                <w:rFonts w:ascii="Times New Roman" w:hAnsi="Times New Roman" w:cs="Times New Roman"/>
                <w:b/>
                <w:lang w:val="en-US"/>
              </w:rPr>
              <w:t xml:space="preserve"> </w:t>
            </w:r>
            <w:r>
              <w:rPr>
                <w:rFonts w:ascii="Times New Roman" w:hAnsi="Times New Roman" w:cs="Times New Roman"/>
                <w:b/>
                <w:lang w:val="en-US"/>
              </w:rPr>
              <w:t xml:space="preserve">данные</w:t>
            </w:r>
            <w:bookmarkEnd w:id="9"/>
            <w:r/>
            <w:bookmarkEnd w:id="10"/>
            <w:r/>
            <w:r>
              <w:rPr>
                <w:rFonts w:ascii="Times New Roman" w:hAnsi="Times New Roman" w:cs="Times New Roman"/>
                <w:b/>
                <w:lang w:val="en-US"/>
              </w:rPr>
            </w:r>
          </w:p>
        </w:tc>
        <w:tc>
          <w:tcPr>
            <w:tcW w:w="4785" w:type="dxa"/>
            <w:textDirection w:val="lrTb"/>
            <w:noWrap w:val="false"/>
          </w:tcPr>
          <w:p>
            <w:pPr>
              <w:pStyle w:val="1067"/>
              <w:numPr>
                <w:ilvl w:val="0"/>
                <w:numId w:val="39"/>
              </w:numPr>
              <w:contextualSpacing w:val="0"/>
              <w:ind w:left="567" w:hanging="567"/>
              <w:jc w:val="center"/>
              <w:keepNext/>
              <w:spacing w:before="120" w:after="240" w:line="240" w:lineRule="auto"/>
              <w:rPr>
                <w:rFonts w:ascii="Times New Roman" w:hAnsi="Times New Roman"/>
              </w:rPr>
            </w:pPr>
            <w:r>
              <w:rPr>
                <w:rFonts w:ascii="Times New Roman" w:hAnsi="Times New Roman"/>
                <w:b/>
              </w:rPr>
              <w:t xml:space="preserve">Personal</w:t>
            </w:r>
            <w:r>
              <w:rPr>
                <w:rFonts w:ascii="Times New Roman" w:hAnsi="Times New Roman"/>
                <w:b/>
              </w:rPr>
              <w:t xml:space="preserve"> </w:t>
            </w:r>
            <w:r>
              <w:rPr>
                <w:rFonts w:ascii="Times New Roman" w:hAnsi="Times New Roman"/>
                <w:b/>
              </w:rPr>
              <w:t xml:space="preserve">data</w:t>
            </w:r>
            <w:r>
              <w:rPr>
                <w:rFonts w:ascii="Times New Roman" w:hAnsi="Times New Roman"/>
                <w:b/>
              </w:rPr>
              <w:t xml:space="preserve"> </w:t>
            </w:r>
            <w:r>
              <w:rPr>
                <w:rFonts w:ascii="Times New Roman" w:hAnsi="Times New Roman"/>
                <w:b/>
              </w:rPr>
              <w:t xml:space="preserve">being</w:t>
            </w:r>
            <w:r>
              <w:rPr>
                <w:rFonts w:ascii="Times New Roman" w:hAnsi="Times New Roman"/>
                <w:b/>
              </w:rPr>
              <w:t xml:space="preserve"> </w:t>
            </w:r>
            <w:r>
              <w:rPr>
                <w:rFonts w:ascii="Times New Roman" w:hAnsi="Times New Roman"/>
                <w:b/>
              </w:rPr>
              <w:t xml:space="preserve">processed</w:t>
            </w:r>
            <w:r>
              <w:rPr>
                <w:rFonts w:ascii="Times New Roman" w:hAnsi="Times New Roman"/>
              </w:rPr>
            </w:r>
          </w:p>
        </w:tc>
      </w:tr>
      <w:tr>
        <w:trPr>
          <w:trHeight w:val="887"/>
        </w:trPr>
        <w:tc>
          <w:tcPr>
            <w:tcW w:w="4785" w:type="dxa"/>
            <w:textDirection w:val="lrTb"/>
            <w:noWrap w:val="false"/>
          </w:tcPr>
          <w:p>
            <w:pPr>
              <w:pStyle w:val="1067"/>
              <w:numPr>
                <w:ilvl w:val="1"/>
                <w:numId w:val="39"/>
              </w:numPr>
              <w:ind w:left="567" w:hanging="567"/>
              <w:jc w:val="both"/>
              <w:spacing w:after="240" w:line="240" w:lineRule="auto"/>
              <w:widowControl w:val="off"/>
              <w:rPr>
                <w:rFonts w:ascii="Times New Roman" w:hAnsi="Times New Roman" w:eastAsia="Times New Roman" w:cs="Times New Roman"/>
                <w:lang w:eastAsia="ru-RU"/>
              </w:rPr>
            </w:pPr>
            <w:r>
              <w:rPr>
                <w:rFonts w:ascii="Times New Roman" w:hAnsi="Times New Roman" w:cs="Times New Roman"/>
              </w:rPr>
              <w:t xml:space="preserve">В Компании обработка </w:t>
            </w:r>
            <w:r>
              <w:rPr>
                <w:rFonts w:ascii="Times New Roman" w:hAnsi="Times New Roman" w:cs="Times New Roman"/>
              </w:rPr>
              <w:t xml:space="preserve">ПДн</w:t>
            </w:r>
            <w:r>
              <w:rPr>
                <w:rFonts w:ascii="Times New Roman" w:hAnsi="Times New Roman" w:cs="Times New Roman"/>
              </w:rPr>
              <w:t xml:space="preserve"> осуществляется в отношении следующих категорий субъектов </w:t>
            </w:r>
            <w:r>
              <w:rPr>
                <w:rFonts w:ascii="Times New Roman" w:hAnsi="Times New Roman" w:cs="Times New Roman"/>
              </w:rPr>
              <w:t xml:space="preserve">ПДн</w:t>
            </w:r>
            <w:r>
              <w:rPr>
                <w:rFonts w:ascii="Times New Roman" w:hAnsi="Times New Roman" w:cs="Times New Roman"/>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0"/>
              </w:numPr>
              <w:ind w:left="573" w:hanging="567"/>
              <w:jc w:val="both"/>
              <w:spacing w:after="240" w:line="240" w:lineRule="auto"/>
              <w:widowControl w:val="off"/>
              <w:rPr>
                <w:rFonts w:ascii="Times New Roman" w:hAnsi="Times New Roman" w:eastAsia="Times New Roman" w:cs="Times New Roman"/>
                <w:lang w:val="en-US"/>
              </w:rPr>
            </w:pPr>
            <w:r>
              <w:rPr>
                <w:rFonts w:ascii="Times New Roman" w:hAnsi="Times New Roman"/>
                <w:lang w:val="en-US"/>
              </w:rPr>
              <w:t xml:space="preserve">The Company processes </w:t>
            </w:r>
            <w:r>
              <w:rPr>
                <w:rFonts w:ascii="Times New Roman" w:hAnsi="Times New Roman"/>
                <w:lang w:val="en-US"/>
              </w:rPr>
              <w:t xml:space="preserve">the </w:t>
            </w:r>
            <w:r>
              <w:rPr>
                <w:rFonts w:ascii="Times New Roman" w:hAnsi="Times New Roman"/>
                <w:lang w:val="en-US"/>
              </w:rPr>
              <w:t xml:space="preserve">PD with respect to the following personal data subjects:</w:t>
            </w:r>
            <w:r>
              <w:rPr>
                <w:rFonts w:ascii="Times New Roman" w:hAnsi="Times New Roman" w:eastAsia="Times New Roman" w:cs="Times New Roman"/>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работников;</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employees</w:t>
            </w:r>
            <w:r>
              <w:rPr>
                <w:rFonts w:ascii="Times New Roman" w:hAnsi="Times New Roman"/>
                <w:szCs w:val="22"/>
              </w:rPr>
              <w:t xml:space="preserve">;</w:t>
            </w:r>
            <w:r>
              <w:rPr>
                <w:rFonts w:ascii="Times New Roman" w:hAnsi="Times New Roman"/>
                <w:szCs w:val="22"/>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кандидатов;</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candidates</w:t>
            </w:r>
            <w:r>
              <w:rPr>
                <w:rFonts w:ascii="Times New Roman" w:hAnsi="Times New Roman"/>
                <w:szCs w:val="22"/>
              </w:rPr>
              <w:t xml:space="preserve">;</w:t>
            </w:r>
            <w:r>
              <w:rPr>
                <w:rFonts w:ascii="Times New Roman" w:hAnsi="Times New Roman"/>
                <w:szCs w:val="22"/>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родственников работников;</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relatives</w:t>
            </w:r>
            <w:r>
              <w:rPr>
                <w:rFonts w:ascii="Times New Roman" w:hAnsi="Times New Roman"/>
                <w:szCs w:val="22"/>
              </w:rPr>
              <w:t xml:space="preserve"> </w:t>
            </w:r>
            <w:r>
              <w:rPr>
                <w:rFonts w:ascii="Times New Roman" w:hAnsi="Times New Roman"/>
                <w:szCs w:val="22"/>
              </w:rPr>
              <w:t xml:space="preserve">of</w:t>
            </w:r>
            <w:r>
              <w:rPr>
                <w:rFonts w:ascii="Times New Roman" w:hAnsi="Times New Roman"/>
                <w:szCs w:val="22"/>
              </w:rPr>
              <w:t xml:space="preserve"> </w:t>
            </w:r>
            <w:r>
              <w:rPr>
                <w:rFonts w:ascii="Times New Roman" w:hAnsi="Times New Roman"/>
                <w:szCs w:val="22"/>
              </w:rPr>
              <w:t xml:space="preserve">employees</w:t>
            </w:r>
            <w:r>
              <w:rPr>
                <w:rFonts w:ascii="Times New Roman" w:hAnsi="Times New Roman"/>
                <w:szCs w:val="22"/>
              </w:rPr>
              <w:t xml:space="preserve">;</w:t>
            </w:r>
            <w:r>
              <w:rPr>
                <w:rFonts w:ascii="Times New Roman" w:hAnsi="Times New Roman"/>
                <w:szCs w:val="22"/>
              </w:rPr>
            </w:r>
          </w:p>
        </w:tc>
      </w:tr>
      <w:tr>
        <w:trPr>
          <w:trHeight w:val="887"/>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лиц, входящих в органы управления, и лиц, устанавливающих (осуществляющих) контроль в отношении компании;</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persons that are members of management bodies and persons establishing (exercising) control over the company;</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работников группы компаний;</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employees of the group of companies;</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представителей клиентов и контрагентов – юридических лиц;</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representatives of clients and contracting parties that are legal entities;</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контрагентов – физических лиц;</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lang w:val="en-US"/>
              </w:rPr>
            </w:pPr>
            <w:r>
              <w:rPr>
                <w:rFonts w:ascii="Times New Roman" w:hAnsi="Times New Roman"/>
                <w:szCs w:val="22"/>
                <w:lang w:val="en-US"/>
              </w:rPr>
              <w:t xml:space="preserve">contracting parties that are individuals;</w:t>
            </w:r>
            <w:r>
              <w:rPr>
                <w:rFonts w:ascii="Times New Roman" w:hAnsi="Times New Roman"/>
                <w:szCs w:val="22"/>
                <w:lang w:val="en-US"/>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специалистов здравоохранения;</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healthcare</w:t>
            </w:r>
            <w:r>
              <w:rPr>
                <w:rFonts w:ascii="Times New Roman" w:hAnsi="Times New Roman"/>
                <w:szCs w:val="22"/>
              </w:rPr>
              <w:t xml:space="preserve"> </w:t>
            </w:r>
            <w:r>
              <w:rPr>
                <w:rFonts w:ascii="Times New Roman" w:hAnsi="Times New Roman"/>
                <w:szCs w:val="22"/>
              </w:rPr>
              <w:t xml:space="preserve">professionals</w:t>
            </w:r>
            <w:r>
              <w:rPr>
                <w:rFonts w:ascii="Times New Roman" w:hAnsi="Times New Roman"/>
                <w:szCs w:val="22"/>
              </w:rPr>
              <w:t xml:space="preserve">;</w:t>
            </w:r>
            <w:r>
              <w:rPr>
                <w:rFonts w:ascii="Times New Roman" w:hAnsi="Times New Roman"/>
                <w:szCs w:val="22"/>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потребителей и репортеров;</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consumers</w:t>
            </w:r>
            <w:r>
              <w:rPr>
                <w:rFonts w:ascii="Times New Roman" w:hAnsi="Times New Roman"/>
                <w:szCs w:val="22"/>
              </w:rPr>
              <w:t xml:space="preserve"> </w:t>
            </w:r>
            <w:r>
              <w:rPr>
                <w:rFonts w:ascii="Times New Roman" w:hAnsi="Times New Roman"/>
                <w:szCs w:val="22"/>
              </w:rPr>
              <w:t xml:space="preserve">and</w:t>
            </w:r>
            <w:r>
              <w:rPr>
                <w:rFonts w:ascii="Times New Roman" w:hAnsi="Times New Roman"/>
                <w:szCs w:val="22"/>
              </w:rPr>
              <w:t xml:space="preserve"> </w:t>
            </w:r>
            <w:r>
              <w:rPr>
                <w:rFonts w:ascii="Times New Roman" w:hAnsi="Times New Roman"/>
                <w:szCs w:val="22"/>
              </w:rPr>
              <w:t xml:space="preserve">reporters</w:t>
            </w:r>
            <w:r>
              <w:rPr>
                <w:rFonts w:ascii="Times New Roman" w:hAnsi="Times New Roman"/>
                <w:szCs w:val="22"/>
              </w:rPr>
              <w:t xml:space="preserve">;</w:t>
            </w:r>
            <w:r>
              <w:rPr>
                <w:rFonts w:ascii="Times New Roman" w:hAnsi="Times New Roman"/>
                <w:szCs w:val="22"/>
              </w:rPr>
            </w:r>
          </w:p>
        </w:tc>
      </w:tr>
      <w:tr>
        <w:trPr>
          <w:trHeight w:val="80"/>
        </w:trPr>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посетителей мероприятий</w:t>
            </w:r>
            <w:r>
              <w:rPr>
                <w:rFonts w:ascii="Times New Roman" w:hAnsi="Times New Roman"/>
                <w:szCs w:val="22"/>
                <w:lang w:val="en-US"/>
              </w:rPr>
              <w:t xml:space="preserve">.</w:t>
            </w:r>
            <w:r>
              <w:rPr>
                <w:rFonts w:ascii="Times New Roman" w:hAnsi="Times New Roman"/>
                <w:szCs w:val="22"/>
              </w:rPr>
            </w:r>
          </w:p>
        </w:tc>
        <w:tc>
          <w:tcPr>
            <w:tcW w:w="4785" w:type="dxa"/>
            <w:textDirection w:val="lrTb"/>
            <w:noWrap w:val="false"/>
          </w:tcPr>
          <w:p>
            <w:pPr>
              <w:pStyle w:val="1069"/>
              <w:numPr>
                <w:ilvl w:val="0"/>
                <w:numId w:val="20"/>
              </w:numPr>
              <w:ind w:left="595" w:hanging="567"/>
              <w:spacing w:after="240" w:line="240" w:lineRule="auto"/>
              <w:rPr>
                <w:rFonts w:ascii="Times New Roman" w:hAnsi="Times New Roman"/>
                <w:szCs w:val="22"/>
              </w:rPr>
            </w:pPr>
            <w:r>
              <w:rPr>
                <w:rFonts w:ascii="Times New Roman" w:hAnsi="Times New Roman"/>
                <w:szCs w:val="22"/>
              </w:rPr>
              <w:t xml:space="preserve">visitors</w:t>
            </w:r>
            <w:r>
              <w:rPr>
                <w:rFonts w:ascii="Times New Roman" w:hAnsi="Times New Roman"/>
                <w:szCs w:val="22"/>
              </w:rPr>
              <w:t xml:space="preserve"> </w:t>
            </w:r>
            <w:r>
              <w:rPr>
                <w:rFonts w:ascii="Times New Roman" w:hAnsi="Times New Roman"/>
                <w:szCs w:val="22"/>
              </w:rPr>
              <w:t xml:space="preserve">of</w:t>
            </w:r>
            <w:r>
              <w:rPr>
                <w:rFonts w:ascii="Times New Roman" w:hAnsi="Times New Roman"/>
                <w:szCs w:val="22"/>
              </w:rPr>
              <w:t xml:space="preserve"> </w:t>
            </w:r>
            <w:r>
              <w:rPr>
                <w:rFonts w:ascii="Times New Roman" w:hAnsi="Times New Roman"/>
                <w:szCs w:val="22"/>
              </w:rPr>
              <w:t xml:space="preserve">events</w:t>
            </w:r>
            <w:r>
              <w:rPr>
                <w:rFonts w:ascii="Times New Roman" w:hAnsi="Times New Roman"/>
                <w:szCs w:val="22"/>
              </w:rPr>
              <w:t xml:space="preserve">.</w:t>
            </w:r>
            <w:r>
              <w:rPr>
                <w:rFonts w:ascii="Times New Roman" w:hAnsi="Times New Roman"/>
                <w:szCs w:val="22"/>
              </w:rPr>
            </w:r>
          </w:p>
        </w:tc>
      </w:tr>
      <w:tr>
        <w:trPr>
          <w:trHeight w:val="424"/>
        </w:trPr>
        <w:tc>
          <w:tcPr>
            <w:tcW w:w="4785" w:type="dxa"/>
            <w:textDirection w:val="lrTb"/>
            <w:noWrap w:val="false"/>
          </w:tcPr>
          <w:p>
            <w:pPr>
              <w:pStyle w:val="1067"/>
              <w:numPr>
                <w:ilvl w:val="1"/>
                <w:numId w:val="39"/>
              </w:numPr>
              <w:ind w:left="567" w:hanging="567"/>
              <w:jc w:val="both"/>
              <w:spacing w:after="240" w:line="240" w:lineRule="auto"/>
              <w:widowControl w:val="off"/>
              <w:rPr>
                <w:rFonts w:ascii="Times New Roman" w:hAnsi="Times New Roman"/>
              </w:rPr>
            </w:pPr>
            <w:r>
              <w:rPr>
                <w:rFonts w:ascii="Times New Roman" w:hAnsi="Times New Roman" w:cs="Times New Roman"/>
              </w:rPr>
              <w:t xml:space="preserve">Содержание и объем </w:t>
            </w:r>
            <w:r>
              <w:rPr>
                <w:rFonts w:ascii="Times New Roman" w:hAnsi="Times New Roman" w:cs="Times New Roman"/>
              </w:rPr>
              <w:t xml:space="preserve">ПДн</w:t>
            </w:r>
            <w:r>
              <w:rPr>
                <w:rFonts w:ascii="Times New Roman" w:hAnsi="Times New Roman" w:cs="Times New Roman"/>
              </w:rPr>
              <w:t xml:space="preserve"> каждой категории субъектов </w:t>
            </w:r>
            <w:r>
              <w:rPr>
                <w:rFonts w:ascii="Times New Roman" w:hAnsi="Times New Roman" w:cs="Times New Roman"/>
              </w:rPr>
              <w:t xml:space="preserve">ПДн</w:t>
            </w:r>
            <w:r>
              <w:rPr>
                <w:rFonts w:ascii="Times New Roman" w:hAnsi="Times New Roman" w:cs="Times New Roman"/>
              </w:rPr>
              <w:t xml:space="preserve"> определяется необходимостью достижения конкретных целей их обработки, необходимостью Компании реализовать свои права и обязанности, а также права и обязанности соответствующего субъекта </w:t>
            </w:r>
            <w:r>
              <w:rPr>
                <w:rFonts w:ascii="Times New Roman" w:hAnsi="Times New Roman" w:cs="Times New Roman"/>
              </w:rPr>
              <w:t xml:space="preserve">ПДн</w:t>
            </w:r>
            <w:r>
              <w:rPr>
                <w:rFonts w:ascii="Times New Roman" w:hAnsi="Times New Roman" w:cs="Times New Roman"/>
              </w:rPr>
              <w:t xml:space="preserve">.</w:t>
            </w:r>
            <w:r>
              <w:rPr>
                <w:rFonts w:ascii="Times New Roman" w:hAnsi="Times New Roman"/>
              </w:rPr>
            </w:r>
          </w:p>
        </w:tc>
        <w:tc>
          <w:tcPr>
            <w:tcW w:w="4785" w:type="dxa"/>
            <w:textDirection w:val="lrTb"/>
            <w:noWrap w:val="false"/>
          </w:tcPr>
          <w:p>
            <w:pPr>
              <w:pStyle w:val="1067"/>
              <w:numPr>
                <w:ilvl w:val="1"/>
                <w:numId w:val="40"/>
              </w:numPr>
              <w:ind w:left="598" w:hanging="598"/>
              <w:jc w:val="both"/>
              <w:spacing w:after="240" w:line="240" w:lineRule="auto"/>
              <w:widowControl w:val="off"/>
              <w:rPr>
                <w:rFonts w:ascii="Times New Roman" w:hAnsi="Times New Roman"/>
                <w:lang w:val="en-US"/>
              </w:rPr>
            </w:pPr>
            <w:r>
              <w:rPr>
                <w:rFonts w:ascii="Times New Roman" w:hAnsi="Times New Roman"/>
                <w:lang w:val="en-US"/>
              </w:rPr>
              <w:t xml:space="preserve">The content and volume of </w:t>
            </w:r>
            <w:r>
              <w:rPr>
                <w:rFonts w:ascii="Times New Roman" w:hAnsi="Times New Roman"/>
                <w:lang w:val="en-US"/>
              </w:rPr>
              <w:t xml:space="preserve">the </w:t>
            </w:r>
            <w:r>
              <w:rPr>
                <w:rFonts w:ascii="Times New Roman" w:hAnsi="Times New Roman"/>
                <w:lang w:val="en-US"/>
              </w:rPr>
              <w:t xml:space="preserve">PD of each of the categories of personal data subjects </w:t>
            </w:r>
            <w:r>
              <w:rPr>
                <w:rFonts w:ascii="Times New Roman" w:hAnsi="Times New Roman"/>
                <w:lang w:val="en-US"/>
              </w:rPr>
              <w:t xml:space="preserve">are</w:t>
            </w:r>
            <w:r>
              <w:rPr>
                <w:rFonts w:ascii="Times New Roman" w:hAnsi="Times New Roman"/>
                <w:lang w:val="en-US"/>
              </w:rPr>
              <w:t xml:space="preserve"> determined by the need for achieving specific purposes of processing such PD, for the Company to implement its rights and obligations, and the rights and obligations of the corresponding personal data subject.</w:t>
            </w:r>
            <w:r>
              <w:rPr>
                <w:rFonts w:ascii="Times New Roman" w:hAnsi="Times New Roman"/>
                <w:lang w:val="en-US"/>
              </w:rPr>
            </w:r>
          </w:p>
        </w:tc>
      </w:tr>
      <w:tr>
        <w:trPr>
          <w:trHeight w:val="887"/>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pPr>
            <w:r/>
            <w:bookmarkStart w:id="11" w:name="_Toc889177"/>
            <w:r/>
            <w:bookmarkStart w:id="12" w:name="_Toc27146058"/>
            <w:r>
              <w:rPr>
                <w:rFonts w:ascii="Times New Roman" w:hAnsi="Times New Roman" w:cs="Times New Roman"/>
                <w:b/>
              </w:rPr>
              <w:t xml:space="preserve">Порядок и условия обработки персональных данных</w:t>
            </w:r>
            <w:bookmarkEnd w:id="11"/>
            <w:r/>
            <w:bookmarkEnd w:id="12"/>
            <w:r/>
            <w:r/>
          </w:p>
        </w:tc>
        <w:tc>
          <w:tcPr>
            <w:tcW w:w="4785" w:type="dxa"/>
            <w:textDirection w:val="lrTb"/>
            <w:noWrap w:val="false"/>
          </w:tcPr>
          <w:p>
            <w:pPr>
              <w:pStyle w:val="1067"/>
              <w:numPr>
                <w:ilvl w:val="0"/>
                <w:numId w:val="40"/>
              </w:numPr>
              <w:contextualSpacing w:val="0"/>
              <w:ind w:left="567" w:hanging="567"/>
              <w:jc w:val="center"/>
              <w:keepNext/>
              <w:spacing w:before="120" w:after="240" w:line="240" w:lineRule="auto"/>
              <w:rPr>
                <w:lang w:val="en-US"/>
              </w:rPr>
            </w:pPr>
            <w:r>
              <w:rPr>
                <w:rFonts w:ascii="Times New Roman" w:hAnsi="Times New Roman"/>
                <w:b/>
                <w:lang w:val="en-US"/>
              </w:rPr>
              <w:t xml:space="preserve">The procedure and conditions for processing personal data</w:t>
            </w:r>
            <w:r>
              <w:rPr>
                <w:lang w:val="en-US"/>
              </w:rPr>
            </w:r>
          </w:p>
        </w:tc>
      </w:tr>
      <w:tr>
        <w:trPr>
          <w:trHeight w:val="80"/>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Обработка Компанией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осуществляется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блокирования, удаления, уничтожения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Company processes </w:t>
            </w:r>
            <w:r>
              <w:rPr>
                <w:rFonts w:ascii="Times New Roman" w:hAnsi="Times New Roman"/>
                <w:lang w:val="en-US"/>
              </w:rPr>
              <w:t xml:space="preserve">the </w:t>
            </w:r>
            <w:r>
              <w:rPr>
                <w:rFonts w:ascii="Times New Roman" w:hAnsi="Times New Roman"/>
                <w:lang w:val="en-US"/>
              </w:rPr>
              <w:t xml:space="preserve">PD by collecting, recording, </w:t>
            </w:r>
            <w:r>
              <w:rPr>
                <w:rFonts w:ascii="Times New Roman" w:hAnsi="Times New Roman"/>
                <w:lang w:val="en-US"/>
              </w:rPr>
              <w:t xml:space="preserve">systematising</w:t>
            </w:r>
            <w:r>
              <w:rPr>
                <w:rFonts w:ascii="Times New Roman" w:hAnsi="Times New Roman"/>
                <w:lang w:val="en-US"/>
              </w:rPr>
              <w:t xml:space="preserve">, accumulating, storing, updating (renewing or modifying), retrieving, using, transferring (distributing, providing or accessing to), blocking, deleting or destroying the PD.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Обработка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осуществляется путем смешанной (как автоматизированной, так и неавтоматизированной) обработки, в том числе с использованием внутренней корпоративной сети и сети Интернет.</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PD is processed in a mixed manner (both automatically and not automatically), including with the use of an intranet and of the Internet.</w:t>
            </w:r>
            <w:r>
              <w:rPr>
                <w:rFonts w:ascii="Times New Roman" w:hAnsi="Times New Roman" w:eastAsia="Times New Roman" w:cs="Times New Roman"/>
                <w:lang w:val="en-US"/>
              </w:rPr>
            </w:r>
          </w:p>
        </w:tc>
      </w:tr>
      <w:tr>
        <w:trPr>
          <w:trHeight w:val="866"/>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Источником информации обо всех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является непосредственно 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Если иное не установлено законодательством Российской Федерации, Компания вправе получать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от третьих лиц, но 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должен быть уведомлен об этом.</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source of all PD is a personal data subject. Unless otherwise stipulated by Russian legislation, the Company has the right to obtain the PD of </w:t>
            </w:r>
            <w:r>
              <w:rPr>
                <w:rFonts w:ascii="Times New Roman" w:hAnsi="Times New Roman"/>
                <w:lang w:val="en-US"/>
              </w:rPr>
              <w:t xml:space="preserve">a</w:t>
            </w:r>
            <w:r>
              <w:rPr>
                <w:rFonts w:ascii="Times New Roman" w:hAnsi="Times New Roman"/>
                <w:lang w:val="en-US"/>
              </w:rPr>
              <w:t xml:space="preserve"> personal data subject from third parties; however, the personal data subject must be notified to that effect.</w:t>
            </w:r>
            <w:r>
              <w:rPr>
                <w:rFonts w:ascii="Times New Roman" w:hAnsi="Times New Roman" w:eastAsia="Times New Roman" w:cs="Times New Roman"/>
                <w:lang w:val="en-US"/>
              </w:rPr>
            </w:r>
          </w:p>
        </w:tc>
      </w:tr>
      <w:tr>
        <w:trPr>
          <w:trHeight w:val="1579"/>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Компания может осуществлять передачу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третьим лицам, включая трансграничную передачу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на территории иностранных государств, в том числе, не обеспечивающих адекватную защиту прав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при условии соблюдения требований, предусмотренных законодательством Российской Федерации.</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Company has the right to transfer PD of personal data subjects to third parties, including transfer </w:t>
            </w:r>
            <w:r>
              <w:rPr>
                <w:rFonts w:ascii="Times New Roman" w:hAnsi="Times New Roman"/>
                <w:lang w:val="en-US"/>
              </w:rPr>
              <w:t xml:space="preserve">of </w:t>
            </w:r>
            <w:r>
              <w:rPr>
                <w:rFonts w:ascii="Times New Roman" w:hAnsi="Times New Roman"/>
                <w:lang w:val="en-US"/>
              </w:rPr>
              <w:t xml:space="preserve">such PD across the border to foreign states, including to those that do not ensure adequate protection of rights of personal data subjects, provided that the conditions stipulated by Russian legislation have been met.</w:t>
            </w:r>
            <w:r>
              <w:rPr>
                <w:rFonts w:ascii="Times New Roman" w:hAnsi="Times New Roman" w:eastAsia="Times New Roman" w:cs="Times New Roman"/>
                <w:lang w:val="en-US"/>
              </w:rPr>
            </w:r>
          </w:p>
        </w:tc>
      </w:tr>
      <w:tr>
        <w:trPr>
          <w:trHeight w:val="1743"/>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Компания вправе поручить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другому лицу с согласия соответствующего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если иное не предусмотрено федеральным законом, на основании заключаемого с этим лицом договора (поручения на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Лицо, осуществляющее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по поручению, обязано соблюдать принципы и правила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предусмотренные законодательством Российской Федерации</w:t>
            </w:r>
            <w:r>
              <w:rPr>
                <w:rFonts w:ascii="Times New Roman" w:hAnsi="Times New Roman" w:eastAsia="Times New Roman" w:cs="Times New Roman"/>
                <w:lang w:eastAsia="ru-RU"/>
              </w:rPr>
              <w:t xml:space="preserve">, конфиденциальность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принимать необходимые меры, направленные на обеспечение выполнения обязанностей, предусмотренных законодательством Российской Федерации</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Unless otherwise stipulated by the federal law, t</w:t>
            </w:r>
            <w:r>
              <w:rPr>
                <w:rFonts w:ascii="Times New Roman" w:hAnsi="Times New Roman"/>
                <w:lang w:val="en-US"/>
              </w:rPr>
              <w:t xml:space="preserve">he Company has the right to delegate processing of </w:t>
            </w:r>
            <w:r>
              <w:rPr>
                <w:rFonts w:ascii="Times New Roman" w:hAnsi="Times New Roman"/>
                <w:lang w:val="en-US"/>
              </w:rPr>
              <w:t xml:space="preserve">the </w:t>
            </w:r>
            <w:r>
              <w:rPr>
                <w:rFonts w:ascii="Times New Roman" w:hAnsi="Times New Roman"/>
                <w:lang w:val="en-US"/>
              </w:rPr>
              <w:t xml:space="preserve">PD to another person subject to the consent of the relevant per</w:t>
            </w:r>
            <w:r>
              <w:rPr>
                <w:rFonts w:ascii="Times New Roman" w:hAnsi="Times New Roman"/>
                <w:lang w:val="en-US"/>
              </w:rPr>
              <w:t xml:space="preserve">sonal data subject, under the contract (instruction to process the PD) concluded with such person. The person that processes the PD further to an instruction must comply with the principles and rules for processing PD as provided for by Russian legislation</w:t>
            </w:r>
            <w:r>
              <w:rPr>
                <w:rFonts w:ascii="Times New Roman" w:hAnsi="Times New Roman"/>
                <w:lang w:val="en-US"/>
              </w:rPr>
              <w:t xml:space="preserve">, keep the PD confidentiality and take required measures to ensure that the obligations stipulated by Russian legislation are met</w:t>
            </w:r>
            <w:r>
              <w:rPr>
                <w:rFonts w:ascii="Times New Roman" w:hAnsi="Times New Roman"/>
                <w:lang w:val="en-US"/>
              </w:rPr>
              <w:t xml:space="preserve">.</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поручении на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Компанией указываются</w:t>
            </w:r>
            <w:r>
              <w:rPr>
                <w:rFonts w:ascii="Times New Roman" w:hAnsi="Times New Roman" w:eastAsia="Times New Roman" w:cs="Times New Roman"/>
                <w:lang w:eastAsia="ru-RU"/>
              </w:rPr>
              <w:t xml:space="preserve"> перечень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 цели обработки и перечень действий (операций) с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которые могут быть совершены лицом, осуществляющим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по поручению, устанавливаются его обязанности по </w:t>
            </w:r>
            <w:r>
              <w:rPr>
                <w:rFonts w:ascii="Times New Roman" w:hAnsi="Times New Roman" w:eastAsia="Times New Roman" w:cs="Times New Roman"/>
                <w:lang w:eastAsia="ru-RU"/>
              </w:rPr>
              <w:t xml:space="preserve">соблюдению </w:t>
            </w:r>
            <w:r>
              <w:rPr>
                <w:rFonts w:ascii="Times New Roman" w:hAnsi="Times New Roman" w:eastAsia="Times New Roman" w:cs="Times New Roman"/>
                <w:lang w:eastAsia="ru-RU"/>
              </w:rPr>
              <w:t xml:space="preserve">конфиденциальности</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требований, предусмотренных частью 5 статьи 18 и статьей 18.1 </w:t>
            </w:r>
            <w:r>
              <w:rPr>
                <w:rFonts w:ascii="Times New Roman" w:hAnsi="Times New Roman" w:eastAsia="Times New Roman" w:cs="Times New Roman"/>
                <w:lang w:eastAsia="ru-RU"/>
              </w:rPr>
              <w:t xml:space="preserve">Федерального закона от 27.07.2006 № 152-ФЗ «О персональных данных» (далее – «</w:t>
            </w:r>
            <w:r>
              <w:rPr>
                <w:rFonts w:ascii="Times New Roman" w:hAnsi="Times New Roman" w:eastAsia="Times New Roman" w:cs="Times New Roman"/>
                <w:b/>
                <w:lang w:eastAsia="ru-RU"/>
              </w:rPr>
              <w:t xml:space="preserve">Закон о персональных данных</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 xml:space="preserve">, предоставлению документов и иной информации, подтверждающей принятие </w:t>
            </w:r>
            <w:r>
              <w:rPr>
                <w:rFonts w:ascii="Times New Roman" w:hAnsi="Times New Roman" w:eastAsia="Times New Roman" w:cs="Times New Roman"/>
                <w:lang w:eastAsia="ru-RU"/>
              </w:rPr>
              <w:t xml:space="preserve">мер и соблюдение в целях исполнения поручения оператора требований, установленных в соответствии со статьей 6 Закона о персональных данных по запросу Компании в течение срока действия поручения, в том числе до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t xml:space="preserve"> по</w:t>
            </w:r>
            <w:r>
              <w:rPr>
                <w:rFonts w:ascii="Times New Roman" w:hAnsi="Times New Roman" w:eastAsia="Times New Roman" w:cs="Times New Roman"/>
                <w:lang w:eastAsia="ru-RU"/>
              </w:rPr>
              <w:t xml:space="preserve"> обеспечению</w:t>
            </w:r>
            <w:r>
              <w:rPr>
                <w:rFonts w:ascii="Times New Roman" w:hAnsi="Times New Roman" w:eastAsia="Times New Roman" w:cs="Times New Roman"/>
                <w:lang w:eastAsia="ru-RU"/>
              </w:rPr>
              <w:t xml:space="preserve"> безопасности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при их обработке, а также требования к защите обрабатываемых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соответствии с законодательством Российской Федерации</w:t>
            </w:r>
            <w:r>
              <w:rPr>
                <w:rFonts w:ascii="Times New Roman" w:hAnsi="Times New Roman" w:eastAsia="Times New Roman" w:cs="Times New Roman"/>
                <w:lang w:eastAsia="ru-RU"/>
              </w:rPr>
              <w:t xml:space="preserve">, в том числе требование об уведомлении Компании о случаях, предусмотренных частью 3.1 статьи 21 Закона о персональных данных</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In the instruction to process the PD, the Company will indicate the </w:t>
            </w:r>
            <w:r>
              <w:rPr>
                <w:rFonts w:ascii="Times New Roman" w:hAnsi="Times New Roman"/>
                <w:lang w:val="en-US"/>
              </w:rPr>
              <w:t xml:space="preserve">list of PD, the </w:t>
            </w:r>
            <w:r>
              <w:rPr>
                <w:rFonts w:ascii="Times New Roman" w:hAnsi="Times New Roman"/>
                <w:lang w:val="en-US"/>
              </w:rPr>
              <w:t xml:space="preserve">purposes of the processing and the list of actions with the PD the person who processes the PD further to an instruction is entitled to perform. It will also establish the obligations of such person to keep </w:t>
            </w:r>
            <w:r>
              <w:rPr>
                <w:rFonts w:ascii="Times New Roman" w:hAnsi="Times New Roman"/>
                <w:lang w:val="en-US"/>
              </w:rPr>
              <w:t xml:space="preserve">the PD </w:t>
            </w:r>
            <w:r>
              <w:rPr>
                <w:rFonts w:ascii="Times New Roman" w:hAnsi="Times New Roman"/>
                <w:lang w:val="en-US"/>
              </w:rPr>
              <w:t xml:space="preserve">confidentiality</w:t>
            </w:r>
            <w:r>
              <w:rPr>
                <w:rFonts w:ascii="Times New Roman" w:hAnsi="Times New Roman"/>
                <w:lang w:val="en-US"/>
              </w:rPr>
              <w:t xml:space="preserve">, comply with the requirements stipulated by Article 18(5) and Article 18.1 of Federal Law No.</w:t>
            </w:r>
            <w:r>
              <w:rPr>
                <w:rFonts w:ascii="Times New Roman" w:hAnsi="Times New Roman"/>
                <w:lang w:val="en-US"/>
              </w:rPr>
              <w:t xml:space="preserve"> 152-FZ of 27 July 2006 “On Personal Data” (hereinafter, the “Personal Data Law”), provide documents and other information that confirm taking measures and complying with the requirements stipulated by Article 6 of the Personal Data Law upon the Company’s </w:t>
            </w:r>
            <w:r>
              <w:rPr>
                <w:rFonts w:ascii="Times New Roman" w:hAnsi="Times New Roman"/>
                <w:lang w:val="en-US"/>
              </w:rPr>
              <w:t xml:space="preserve">request and during the term of the instruction (including the period before the PD processing) for the purposes of executing the operator’s instruction</w:t>
            </w:r>
            <w:r>
              <w:rPr>
                <w:rFonts w:ascii="Times New Roman" w:hAnsi="Times New Roman"/>
                <w:lang w:val="en-US"/>
              </w:rPr>
              <w:t xml:space="preserve"> and ensure the safety of the PD during </w:t>
            </w:r>
            <w:r>
              <w:rPr>
                <w:rFonts w:ascii="Times New Roman" w:hAnsi="Times New Roman"/>
                <w:lang w:val="en-US"/>
              </w:rPr>
              <w:t xml:space="preserve">their</w:t>
            </w:r>
            <w:r>
              <w:rPr>
                <w:rFonts w:ascii="Times New Roman" w:hAnsi="Times New Roman"/>
                <w:lang w:val="en-US"/>
              </w:rPr>
              <w:t xml:space="preserve"> processing, as well as the requirements for the protection of processed PD under Russian legislation</w:t>
            </w:r>
            <w:r>
              <w:rPr>
                <w:rFonts w:ascii="Times New Roman" w:hAnsi="Times New Roman"/>
                <w:lang w:val="en-US"/>
              </w:rPr>
              <w:t xml:space="preserve">, including the requirement to notify the Company of the events stipulated by Article 21(3.1) of the Personal Data Law</w:t>
            </w:r>
            <w:r>
              <w:rPr>
                <w:rFonts w:ascii="Times New Roman" w:hAnsi="Times New Roman"/>
                <w:lang w:val="en-US"/>
              </w:rPr>
              <w:t xml:space="preserve">.</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 обработке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Компании соблюдаются условия, обеспечивающие сохранность и конфиденциальность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When it processes PD, the Company must comply with the conditions securing safety and confidentiality of the PD.</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Компания предпринимает необходимые технические и организационные меры в соответствии с законодательством Российской Федерации в области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 целью обеспечения их защиты от несанкционированного доступа, изменения, раскрытия или уничтожения.</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Company will undertake all necessary technical and </w:t>
            </w:r>
            <w:r>
              <w:rPr>
                <w:rFonts w:ascii="Times New Roman" w:hAnsi="Times New Roman"/>
                <w:lang w:val="en-GB"/>
              </w:rPr>
              <w:t xml:space="preserve">organisational</w:t>
            </w:r>
            <w:r>
              <w:rPr>
                <w:rFonts w:ascii="Times New Roman" w:hAnsi="Times New Roman"/>
                <w:lang w:val="en-US"/>
              </w:rPr>
              <w:t xml:space="preserve"> measures under Russian legislation in the area of PD in order to secure safety against </w:t>
            </w:r>
            <w:r>
              <w:rPr>
                <w:rFonts w:ascii="Times New Roman" w:hAnsi="Times New Roman"/>
                <w:lang w:val="en-GB"/>
              </w:rPr>
              <w:t xml:space="preserve">unauthorised</w:t>
            </w:r>
            <w:r>
              <w:rPr>
                <w:rFonts w:ascii="Times New Roman" w:hAnsi="Times New Roman"/>
                <w:lang w:val="en-US"/>
              </w:rPr>
              <w:t xml:space="preserve"> access, modification, disclosure or destruction.</w:t>
            </w:r>
            <w:r>
              <w:rPr>
                <w:rFonts w:ascii="Times New Roman" w:hAnsi="Times New Roman" w:eastAsia="Times New Roman" w:cs="Times New Roman"/>
                <w:lang w:val="en-US"/>
              </w:rPr>
            </w:r>
          </w:p>
        </w:tc>
      </w:tr>
      <w:tr>
        <w:trPr>
          <w:trHeight w:val="949"/>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Работники Компании, а также иные лица, получившие доступ к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принимают обязательства по обеспечению конфиденциальности обрабатываемых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Company’s employees and other persons who were granted access to the PD will assume obligations to ensure confidentiality of the PD being processed.</w:t>
            </w:r>
            <w:r>
              <w:rPr>
                <w:rFonts w:ascii="Times New Roman" w:hAnsi="Times New Roman" w:eastAsia="Times New Roman" w:cs="Times New Roman"/>
                <w:lang w:val="en-US"/>
              </w:rPr>
            </w:r>
          </w:p>
        </w:tc>
      </w:tr>
      <w:tr>
        <w:trPr>
          <w:trHeight w:val="870"/>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Хранение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осуществляется в форме, позволяющей идентифицировать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но не дольше, чем этого требуют цели их обработки, если иной срок не установлен законодательством Российской Федерации или договором, стороной которого, выгодоприобретателем или поручителем по которому является 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PD should be stored in a form which allows the personal data subject to be identified, but no</w:t>
            </w:r>
            <w:r>
              <w:rPr>
                <w:rFonts w:ascii="Times New Roman" w:hAnsi="Times New Roman"/>
                <w:lang w:val="en-US"/>
              </w:rPr>
              <w:t xml:space="preserve">t for a</w:t>
            </w:r>
            <w:r>
              <w:rPr>
                <w:rFonts w:ascii="Times New Roman" w:hAnsi="Times New Roman"/>
                <w:lang w:val="en-US"/>
              </w:rPr>
              <w:t xml:space="preserve"> longer </w:t>
            </w:r>
            <w:r>
              <w:rPr>
                <w:rFonts w:ascii="Times New Roman" w:hAnsi="Times New Roman"/>
                <w:lang w:val="en-US"/>
              </w:rPr>
              <w:t xml:space="preserve">period </w:t>
            </w:r>
            <w:r>
              <w:rPr>
                <w:rFonts w:ascii="Times New Roman" w:hAnsi="Times New Roman"/>
                <w:lang w:val="en-US"/>
              </w:rPr>
              <w:t xml:space="preserve">than required </w:t>
            </w:r>
            <w:r>
              <w:rPr>
                <w:rFonts w:ascii="Times New Roman" w:hAnsi="Times New Roman"/>
                <w:lang w:val="en-US"/>
              </w:rPr>
              <w:t xml:space="preserve">for the</w:t>
            </w:r>
            <w:r>
              <w:rPr>
                <w:rFonts w:ascii="Times New Roman" w:hAnsi="Times New Roman"/>
                <w:lang w:val="en-US"/>
              </w:rPr>
              <w:t xml:space="preserve"> purposes </w:t>
            </w:r>
            <w:r>
              <w:rPr>
                <w:rFonts w:ascii="Times New Roman" w:hAnsi="Times New Roman"/>
                <w:lang w:val="en-US"/>
              </w:rPr>
              <w:t xml:space="preserve">of</w:t>
            </w:r>
            <w:r>
              <w:rPr>
                <w:rFonts w:ascii="Times New Roman" w:hAnsi="Times New Roman"/>
                <w:lang w:val="en-US"/>
              </w:rPr>
              <w:t xml:space="preserve"> processing the </w:t>
            </w:r>
            <w:r>
              <w:rPr>
                <w:rFonts w:ascii="Times New Roman" w:hAnsi="Times New Roman"/>
                <w:lang w:val="en-US"/>
              </w:rPr>
              <w:t xml:space="preserve">PD</w:t>
            </w:r>
            <w:r>
              <w:rPr>
                <w:rFonts w:ascii="Times New Roman" w:hAnsi="Times New Roman"/>
                <w:lang w:val="en-US"/>
              </w:rPr>
              <w:t xml:space="preserve">, unless another period is set by Russian legislation or a contract to or under which the personal data subject is a party, beneficiary or a guarantor.</w:t>
            </w:r>
            <w:r>
              <w:rPr>
                <w:rFonts w:ascii="Times New Roman" w:hAnsi="Times New Roman" w:eastAsia="Times New Roman" w:cs="Times New Roman"/>
                <w:lang w:val="en-US"/>
              </w:rPr>
            </w:r>
          </w:p>
        </w:tc>
      </w:tr>
      <w:tr>
        <w:trPr>
          <w:trHeight w:val="1034"/>
        </w:trPr>
        <w:tc>
          <w:tcPr>
            <w:tcW w:w="4785" w:type="dxa"/>
            <w:textDirection w:val="lrTb"/>
            <w:noWrap w:val="false"/>
          </w:tcPr>
          <w:p>
            <w:pPr>
              <w:pStyle w:val="1067"/>
              <w:numPr>
                <w:ilvl w:val="1"/>
                <w:numId w:val="40"/>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Уничтожение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производится после достижения целей их обработки, в случае утраты необходимости в достижении целей обработки или по окончании срока хранения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установленного федеральным законом или договором, стороной которого, </w:t>
            </w:r>
            <w:r>
              <w:rPr>
                <w:rFonts w:ascii="Times New Roman" w:hAnsi="Times New Roman" w:eastAsia="Times New Roman" w:cs="Times New Roman"/>
                <w:lang w:eastAsia="ru-RU"/>
              </w:rPr>
              <w:t xml:space="preserve">выгодоприобретателем или поручителем по которому является 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PD will be destroyed once th</w:t>
            </w:r>
            <w:r>
              <w:rPr>
                <w:rFonts w:ascii="Times New Roman" w:hAnsi="Times New Roman"/>
                <w:lang w:val="en-US"/>
              </w:rPr>
              <w:t xml:space="preserve">e processing purposes have been achieved if such purposes are no longer needed to be achieved or after the PD storage period expired as set by the federal law or a contract to or under which the personal data subject is a party, beneficiary or a guarantor.</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rPr>
            </w:pPr>
            <w:r/>
            <w:bookmarkStart w:id="13" w:name="_Toc889178"/>
            <w:r/>
            <w:bookmarkStart w:id="14" w:name="_Toc27146059"/>
            <w:r>
              <w:rPr>
                <w:rFonts w:ascii="Times New Roman" w:hAnsi="Times New Roman" w:cs="Times New Roman"/>
                <w:b/>
              </w:rPr>
              <w:t xml:space="preserve">Актуализация, исправление и уничтожение персональных данных</w:t>
            </w:r>
            <w:bookmarkEnd w:id="13"/>
            <w:r/>
            <w:bookmarkEnd w:id="14"/>
            <w:r/>
            <w:r>
              <w:rPr>
                <w:rFonts w:ascii="Times New Roman" w:hAnsi="Times New Roman"/>
              </w:rPr>
            </w:r>
          </w:p>
        </w:tc>
        <w:tc>
          <w:tcPr>
            <w:tcW w:w="4785" w:type="dxa"/>
            <w:textDirection w:val="lrTb"/>
            <w:noWrap w:val="false"/>
          </w:tcPr>
          <w:p>
            <w:pPr>
              <w:pStyle w:val="1067"/>
              <w:numPr>
                <w:ilvl w:val="0"/>
                <w:numId w:val="41"/>
              </w:numPr>
              <w:contextualSpacing w:val="0"/>
              <w:ind w:left="567" w:hanging="567"/>
              <w:jc w:val="center"/>
              <w:keepNext/>
              <w:spacing w:before="120" w:after="240" w:line="240" w:lineRule="auto"/>
              <w:rPr>
                <w:rFonts w:ascii="Times New Roman" w:hAnsi="Times New Roman"/>
                <w:lang w:val="en-US"/>
              </w:rPr>
            </w:pPr>
            <w:r>
              <w:rPr>
                <w:rFonts w:ascii="Times New Roman" w:hAnsi="Times New Roman"/>
                <w:b/>
                <w:lang w:val="en-US"/>
              </w:rPr>
              <w:t xml:space="preserve">Updating, correcting and destroying personal data</w:t>
            </w:r>
            <w:r>
              <w:rPr>
                <w:rFonts w:ascii="Times New Roman" w:hAnsi="Times New Roman"/>
                <w:lang w:val="en-US"/>
              </w:rPr>
            </w:r>
          </w:p>
        </w:tc>
      </w:tr>
      <w:tr>
        <w:trPr>
          <w:trHeight w:val="566"/>
        </w:trPr>
        <w:tc>
          <w:tcPr>
            <w:tcW w:w="4785" w:type="dxa"/>
            <w:textDirection w:val="lrTb"/>
            <w:noWrap w:val="false"/>
          </w:tcPr>
          <w:p>
            <w:pPr>
              <w:pStyle w:val="1067"/>
              <w:numPr>
                <w:ilvl w:val="1"/>
                <w:numId w:val="41"/>
              </w:numPr>
              <w:contextualSpacing w:val="0"/>
              <w:ind w:left="595" w:hanging="595"/>
              <w:jc w:val="both"/>
              <w:spacing w:after="240" w:line="240" w:lineRule="auto"/>
              <w:rPr>
                <w:lang w:eastAsia="ru-RU"/>
              </w:rPr>
            </w:pPr>
            <w:r>
              <w:rPr>
                <w:rFonts w:ascii="Times New Roman" w:hAnsi="Times New Roman" w:eastAsia="Times New Roman" w:cs="Times New Roman"/>
                <w:lang w:eastAsia="ru-RU"/>
              </w:rPr>
              <w:t xml:space="preserve">Компания предпринимает </w:t>
            </w:r>
            <w:r>
              <w:rPr>
                <w:rFonts w:ascii="Times New Roman" w:hAnsi="Times New Roman" w:eastAsia="Times New Roman" w:cs="Times New Roman"/>
                <w:lang w:eastAsia="ru-RU"/>
              </w:rPr>
              <w:t xml:space="preserve">разумные меры для поддержания точности и актуальности</w:t>
            </w:r>
            <w:r>
              <w:rPr>
                <w:rFonts w:ascii="Times New Roman" w:hAnsi="Times New Roman" w:eastAsia="Times New Roman" w:cs="Times New Roman"/>
                <w:lang w:eastAsia="ru-RU"/>
              </w:rPr>
              <w:t xml:space="preserve"> обрабатываемых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а также их удаления в случаях, если они признаются устаревшими, недостоверными или излишними, либо если достигнуты цели их обработки.</w:t>
            </w:r>
            <w:r>
              <w:rPr>
                <w:rFonts w:ascii="Times New Roman" w:hAnsi="Times New Roman" w:eastAsia="Times New Roman" w:cs="Times New Roman"/>
                <w:sz w:val="28"/>
                <w:szCs w:val="28"/>
                <w:lang w:eastAsia="ru-RU"/>
              </w:rPr>
              <w:t xml:space="preserve"> </w:t>
            </w:r>
            <w:r>
              <w:rPr>
                <w:lang w:eastAsia="ru-RU"/>
              </w:rPr>
            </w:r>
          </w:p>
        </w:tc>
        <w:tc>
          <w:tcPr>
            <w:tcW w:w="4785" w:type="dxa"/>
            <w:textDirection w:val="lrTb"/>
            <w:noWrap w:val="false"/>
          </w:tcPr>
          <w:p>
            <w:pPr>
              <w:pStyle w:val="1067"/>
              <w:numPr>
                <w:ilvl w:val="1"/>
                <w:numId w:val="42"/>
              </w:numPr>
              <w:contextualSpacing w:val="0"/>
              <w:ind w:left="595" w:hanging="595"/>
              <w:jc w:val="both"/>
              <w:spacing w:after="240" w:line="240" w:lineRule="auto"/>
              <w:rPr>
                <w:lang w:val="en-US"/>
              </w:rPr>
            </w:pPr>
            <w:r>
              <w:rPr>
                <w:rFonts w:ascii="Times New Roman" w:hAnsi="Times New Roman"/>
                <w:lang w:val="en-US"/>
              </w:rPr>
              <w:t xml:space="preserve">The Company will undertake reasonable measures to maintain the PD accurate and updated and to delete it if the PD is </w:t>
            </w:r>
            <w:r>
              <w:rPr>
                <w:rFonts w:ascii="Times New Roman" w:hAnsi="Times New Roman"/>
                <w:lang w:val="en-GB"/>
              </w:rPr>
              <w:t xml:space="preserve">recognised</w:t>
            </w:r>
            <w:r>
              <w:rPr>
                <w:rFonts w:ascii="Times New Roman" w:hAnsi="Times New Roman"/>
                <w:lang w:val="en-US"/>
              </w:rPr>
              <w:t xml:space="preserve"> to be obsolete, inaccurate or redundant, or if the purposes of processing the PD have been achieved.</w:t>
            </w:r>
            <w:r>
              <w:rPr>
                <w:rFonts w:ascii="Times New Roman" w:hAnsi="Times New Roman"/>
                <w:sz w:val="28"/>
                <w:szCs w:val="28"/>
                <w:lang w:val="en-US"/>
              </w:rPr>
              <w:t xml:space="preserve"> </w:t>
            </w:r>
            <w:r>
              <w:rPr>
                <w:lang w:val="en-US"/>
              </w:rPr>
            </w:r>
          </w:p>
        </w:tc>
      </w:tr>
      <w:tr>
        <w:trPr>
          <w:trHeight w:val="887"/>
        </w:trPr>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случае обнаружения факта неточности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или неправомерности их обработки, Компания обязана провести актуализацию или прекратить их обработку.</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2"/>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If it is discovered that the PD is inaccurate or its processing was illegal, the Company will have to update the PD or cease processing such PD.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Обработка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прекращается Компанией в следующем порядке и сроки (если иное не предусмотрено законодательством Российской Федерации):</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2"/>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Company will cease to process the PD by the following procedure and within the following timeframes (unless Russian legislation provides otherwise):</w:t>
            </w:r>
            <w:r>
              <w:rPr>
                <w:rFonts w:ascii="Times New Roman" w:hAnsi="Times New Roman" w:eastAsia="Times New Roman" w:cs="Times New Roman"/>
                <w:lang w:val="en-US"/>
              </w:rPr>
            </w:r>
          </w:p>
        </w:tc>
      </w:tr>
      <w:tr>
        <w:trPr>
          <w:trHeight w:val="3355"/>
        </w:trPr>
        <w:tc>
          <w:tcPr>
            <w:tcW w:w="4785" w:type="dxa"/>
            <w:textDirection w:val="lrTb"/>
            <w:noWrap w:val="false"/>
          </w:tcPr>
          <w:p>
            <w:pPr>
              <w:pStyle w:val="1067"/>
              <w:numPr>
                <w:ilvl w:val="0"/>
                <w:numId w:val="23"/>
              </w:numPr>
              <w:contextualSpacing w:val="0"/>
              <w:ind w:left="595" w:hanging="595"/>
              <w:jc w:val="both"/>
              <w:spacing w:after="240" w:line="240" w:lineRule="auto"/>
              <w:rPr>
                <w:rFonts w:ascii="Times New Roman" w:hAnsi="Times New Roman" w:eastAsia="Times New Roman" w:cs="Times New Roman"/>
              </w:rPr>
            </w:pPr>
            <w:r>
              <w:rPr>
                <w:rFonts w:ascii="Times New Roman" w:hAnsi="Times New Roman" w:eastAsia="Times New Roman" w:cs="Times New Roman"/>
                <w:lang w:eastAsia="ru-RU"/>
              </w:rPr>
              <w:t xml:space="preserve">при выявлении неправомерных действий с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w:t>
            </w:r>
            <w:r>
              <w:rPr>
                <w:rFonts w:ascii="Times New Roman" w:hAnsi="Times New Roman" w:eastAsia="Times New Roman" w:cs="Times New Roman"/>
                <w:lang w:eastAsia="ru-RU"/>
              </w:rPr>
              <w:t xml:space="preserve">срок, не превышающий трех рабочих дней с даты такого выявления, Компания устраняет допущенные нарушения. В случае невозможности устранения допущенных нарушений Компания в срок, не превышающий десяти рабочих дней с даты выявления неправомерности действий с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уничтожает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Об устранении допущенных нарушений или об уничтожении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Компания уведомляет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или его законного представителя, а в случае, если обращение или запрос были направлены в уполномоченный орган по защите прав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также этот орган;</w:t>
            </w:r>
            <w:r>
              <w:rPr>
                <w:rFonts w:ascii="Times New Roman" w:hAnsi="Times New Roman" w:eastAsia="Times New Roman" w:cs="Times New Roman"/>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if any unlawful actions with the PD are revealed, </w:t>
            </w:r>
            <w:r>
              <w:rPr>
                <w:rFonts w:ascii="Times New Roman" w:hAnsi="Times New Roman"/>
                <w:lang w:val="en-US"/>
              </w:rPr>
              <w:t xml:space="preserve">the Company will rectify the violations within the period not longer than 3 business days after such actions have been revealed. If the Company does not rectify the violations committed within the period not longer than 10 business days after the day when </w:t>
            </w:r>
            <w:r>
              <w:rPr>
                <w:rFonts w:ascii="Times New Roman" w:hAnsi="Times New Roman"/>
                <w:lang w:val="en-US"/>
              </w:rPr>
              <w:t xml:space="preserve">the </w:t>
            </w:r>
            <w:r>
              <w:rPr>
                <w:rFonts w:ascii="Times New Roman" w:hAnsi="Times New Roman"/>
                <w:lang w:val="en-US"/>
              </w:rPr>
              <w:t xml:space="preserve">illegal actions </w:t>
            </w:r>
            <w:r>
              <w:rPr>
                <w:rFonts w:ascii="Times New Roman" w:hAnsi="Times New Roman"/>
                <w:lang w:val="en-US"/>
              </w:rPr>
              <w:t xml:space="preserve">with</w:t>
            </w:r>
            <w:r>
              <w:rPr>
                <w:rFonts w:ascii="Times New Roman" w:hAnsi="Times New Roman"/>
                <w:lang w:val="en-US"/>
              </w:rPr>
              <w:t xml:space="preserve"> the PD were revealed, it will destroy the PD. The Company will notify the personal</w:t>
            </w:r>
            <w:r>
              <w:rPr>
                <w:rFonts w:ascii="Times New Roman" w:hAnsi="Times New Roman"/>
                <w:lang w:val="en-US"/>
              </w:rPr>
              <w:t xml:space="preserve"> data subject or his/her legal representative of the destruction of the PD, and, if an application or request was forwarded to a competent authority responsible for the protection of rights of personal data subjects, notify the competent authority as well;</w:t>
            </w:r>
            <w:r>
              <w:rPr>
                <w:rFonts w:ascii="Times New Roman" w:hAnsi="Times New Roman" w:eastAsia="Times New Roman" w:cs="Times New Roman"/>
                <w:lang w:val="en-US"/>
              </w:rPr>
            </w:r>
          </w:p>
        </w:tc>
      </w:tr>
      <w:tr>
        <w:trPr>
          <w:trHeight w:val="265"/>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rPr>
            </w:pPr>
            <w:r>
              <w:rPr>
                <w:rFonts w:ascii="Times New Roman" w:hAnsi="Times New Roman" w:eastAsia="Times New Roman" w:cs="Times New Roman"/>
                <w:lang w:eastAsia="ru-RU"/>
              </w:rPr>
              <w:t xml:space="preserve">при достижении цели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Компания прекращает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 уничтожает соответствующие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срок, не превышающий тридцати дней с даты достижения цели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once it achieves the purposes of processing the PD, the Company will cease processing and will destroy the relevant PD within the period not longer than 30 days once the purposes of processing the PD were achieved;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contextualSpacing w:val="0"/>
              <w:ind w:left="595" w:hanging="595"/>
              <w:jc w:val="both"/>
              <w:spacing w:after="240" w:line="240" w:lineRule="auto"/>
            </w:pPr>
            <w:r>
              <w:rPr>
                <w:rFonts w:ascii="Times New Roman" w:hAnsi="Times New Roman" w:eastAsia="Times New Roman" w:cs="Times New Roman"/>
                <w:lang w:eastAsia="ru-RU"/>
              </w:rPr>
              <w:t xml:space="preserve">при отзыве субъектом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согласия на обработку своих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Компания прекращает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 уничтожает (за исключением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которые хранятся в соответствии с действующим законодательством)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срок, не превышающий тридцати дней с даты поступления указанного отзыва</w:t>
            </w:r>
            <w:r>
              <w:rPr>
                <w:rFonts w:ascii="Times New Roman" w:hAnsi="Times New Roman" w:eastAsia="Times New Roman" w:cs="Times New Roman"/>
                <w:lang w:eastAsia="ru-RU"/>
              </w:rPr>
              <w:t xml:space="preserve">;</w:t>
            </w:r>
            <w:r/>
          </w:p>
        </w:tc>
        <w:tc>
          <w:tcPr>
            <w:tcW w:w="4785" w:type="dxa"/>
            <w:textDirection w:val="lrTb"/>
            <w:noWrap w:val="false"/>
          </w:tcPr>
          <w:p>
            <w:pPr>
              <w:pStyle w:val="1067"/>
              <w:numPr>
                <w:ilvl w:val="0"/>
                <w:numId w:val="23"/>
              </w:numPr>
              <w:ind w:left="595" w:hanging="595"/>
              <w:jc w:val="both"/>
              <w:spacing w:after="240" w:line="240" w:lineRule="auto"/>
              <w:rPr>
                <w:lang w:val="en-US"/>
              </w:rPr>
            </w:pPr>
            <w:r>
              <w:rPr>
                <w:rFonts w:ascii="Times New Roman" w:hAnsi="Times New Roman"/>
                <w:lang w:val="en-US"/>
              </w:rPr>
              <w:t xml:space="preserve">if a personal data subject revokes his</w:t>
            </w:r>
            <w:r>
              <w:rPr>
                <w:rFonts w:ascii="Times New Roman" w:hAnsi="Times New Roman"/>
                <w:lang w:val="en-US"/>
              </w:rPr>
              <w:t xml:space="preserve">/her consent to have his/her PD processed, the Company will cease processing the PD and destroy it (except for the PD that must be stored under effective legislation) within the period not longer than 30 days once the relevant revocation has been received.</w:t>
            </w:r>
            <w:r>
              <w:rPr>
                <w:lang w:val="en-US"/>
              </w:rPr>
            </w:r>
          </w:p>
        </w:tc>
      </w:tr>
      <w:tr>
        <w:trPr>
          <w:trHeight w:val="80"/>
        </w:trPr>
        <w:tc>
          <w:tcPr>
            <w:tcW w:w="4785" w:type="dxa"/>
            <w:textDirection w:val="lrTb"/>
            <w:noWrap w:val="false"/>
          </w:tcPr>
          <w:p>
            <w:pPr>
              <w:pStyle w:val="1067"/>
              <w:numPr>
                <w:ilvl w:val="0"/>
                <w:numId w:val="23"/>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 обращении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 Компании с требованием о прекращении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Компания прекращает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 уничтожает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(за исключением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обработка которых может осуществляться без согласия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а именно в случаях, предусмотренных пунктами 2 - 11 части 1 статьи 6, частью 2 статьи 10 и частью 2 статьи 11 Закона о персональных данных) </w:t>
            </w:r>
            <w:r>
              <w:rPr>
                <w:rFonts w:ascii="Times New Roman" w:hAnsi="Times New Roman" w:eastAsia="Times New Roman" w:cs="Times New Roman"/>
                <w:lang w:eastAsia="ru-RU"/>
              </w:rPr>
              <w:t xml:space="preserve">в срок, не превышающий десяти рабочих дней с даты получения соответствующего требования. Указанный срок может быть продлен, но не более чем на пять рабочих дней в случае направления Компанией в адрес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мотивированного уведомления с указанием причин продления срока</w:t>
            </w:r>
            <w:r>
              <w:rPr>
                <w:rFonts w:ascii="Times New Roman" w:hAnsi="Times New Roman" w:eastAsia="Times New Roman" w:cs="Times New Roman"/>
                <w:lang w:eastAsia="ru-RU"/>
              </w:rPr>
              <w:t xml:space="preserve"> прекращения обработки и уничтожения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lang w:val="en-US"/>
              </w:rPr>
            </w:pPr>
            <w:r>
              <w:rPr>
                <w:rFonts w:ascii="Times New Roman" w:hAnsi="Times New Roman"/>
                <w:lang w:val="en-US"/>
              </w:rPr>
              <w:t xml:space="preserve">if a personal data subject demands that the Company cease PD processing, the Company will cease processing and destroy the relevant PD (except for the PD that does not req</w:t>
            </w:r>
            <w:r>
              <w:rPr>
                <w:rFonts w:ascii="Times New Roman" w:hAnsi="Times New Roman"/>
                <w:lang w:val="en-US"/>
              </w:rPr>
              <w:t xml:space="preserve">uire the PD subject’s consent for processing, namely in the events provided for by paragraphs 2-11 of Article 6(1), by Article 10(2) and Article 11(2) of the Personal Data Law) within the period not longer than ten business days once the relevant demand ha</w:t>
            </w:r>
            <w:r>
              <w:rPr>
                <w:rFonts w:ascii="Times New Roman" w:hAnsi="Times New Roman"/>
                <w:lang w:val="en-US"/>
              </w:rPr>
              <w:t xml:space="preserve">s been received. This timeframe can be extended but for no longer than five business days if the Company serves a motivated notice to the personal data subject, including the reasons for the extension of the term to cease PD processing and destroy such PD.</w:t>
            </w:r>
            <w:r>
              <w:rPr>
                <w:rFonts w:ascii="Times New Roman" w:hAnsi="Times New Roman"/>
                <w:lang w:val="en-US"/>
              </w:rPr>
            </w:r>
          </w:p>
        </w:tc>
      </w:tr>
      <w:tr>
        <w:trPr>
          <w:trHeight w:val="887"/>
        </w:trPr>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lang w:eastAsia="ru-RU"/>
              </w:rPr>
              <w:t xml:space="preserve">В случае отсутствия возможности уничтожения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течение указанных сроков Компания осуществляет блокирование таких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или обеспечивает их блокирование и затем обеспечивает уничтожение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срок не более чем шесть месяцев, если иной срок не установлен законодательством Российской Федерации.</w:t>
            </w:r>
            <w:r>
              <w:rPr>
                <w:rFonts w:ascii="Times New Roman" w:hAnsi="Times New Roman" w:eastAsia="Times New Roman" w:cs="Times New Roman"/>
                <w:sz w:val="28"/>
                <w:szCs w:val="28"/>
                <w:lang w:eastAsia="ru-RU"/>
              </w:rPr>
            </w:r>
          </w:p>
        </w:tc>
        <w:tc>
          <w:tcPr>
            <w:tcW w:w="4785" w:type="dxa"/>
            <w:textDirection w:val="lrTb"/>
            <w:noWrap w:val="false"/>
          </w:tcPr>
          <w:p>
            <w:pPr>
              <w:pStyle w:val="1067"/>
              <w:numPr>
                <w:ilvl w:val="1"/>
                <w:numId w:val="42"/>
              </w:numPr>
              <w:contextualSpacing w:val="0"/>
              <w:ind w:left="595" w:hanging="595"/>
              <w:jc w:val="both"/>
              <w:spacing w:after="240" w:line="240" w:lineRule="auto"/>
              <w:rPr>
                <w:rFonts w:ascii="Times New Roman" w:hAnsi="Times New Roman" w:eastAsia="Times New Roman" w:cs="Times New Roman"/>
                <w:sz w:val="28"/>
                <w:szCs w:val="28"/>
                <w:lang w:val="en-US"/>
              </w:rPr>
            </w:pPr>
            <w:r>
              <w:rPr>
                <w:rFonts w:ascii="Times New Roman" w:hAnsi="Times New Roman"/>
                <w:lang w:val="en-US"/>
              </w:rPr>
              <w:t xml:space="preserve">If it proves to be impossible to destroy the PD within the above time</w:t>
            </w:r>
            <w:r>
              <w:rPr>
                <w:rFonts w:ascii="Times New Roman" w:hAnsi="Times New Roman"/>
                <w:lang w:val="en-US"/>
              </w:rPr>
              <w:t xml:space="preserve">frames, the Company will block the</w:t>
            </w:r>
            <w:r>
              <w:rPr>
                <w:rFonts w:ascii="Times New Roman" w:hAnsi="Times New Roman"/>
                <w:lang w:val="en-US"/>
              </w:rPr>
              <w:t xml:space="preserve"> PD or arrange for such PD to be blocked, and subsequently arrange for the PD to be destroyed within no less than 6 months, unless Russian legislation provides for a different term.</w:t>
            </w:r>
            <w:r>
              <w:rPr>
                <w:rFonts w:ascii="Times New Roman" w:hAnsi="Times New Roman" w:eastAsia="Times New Roman" w:cs="Times New Roman"/>
                <w:sz w:val="28"/>
                <w:szCs w:val="28"/>
                <w:lang w:val="en-US"/>
              </w:rPr>
            </w:r>
          </w:p>
        </w:tc>
      </w:tr>
      <w:tr>
        <w:trPr>
          <w:trHeight w:val="80"/>
        </w:trPr>
        <w:tc>
          <w:tcPr>
            <w:tcW w:w="4785" w:type="dxa"/>
            <w:textDirection w:val="lrTb"/>
            <w:noWrap w:val="false"/>
          </w:tcPr>
          <w:p>
            <w:pPr>
              <w:pStyle w:val="1067"/>
              <w:numPr>
                <w:ilvl w:val="1"/>
                <w:numId w:val="41"/>
              </w:numPr>
              <w:contextualSpacing w:val="0"/>
              <w:ind w:left="595" w:hanging="595"/>
              <w:jc w:val="both"/>
              <w:spacing w:after="24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lang w:eastAsia="ru-RU"/>
              </w:rPr>
              <w:t xml:space="preserve">Уничтожение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должно производиться способом, исключающим дальнейшую обработку таких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sz w:val="28"/>
                <w:szCs w:val="28"/>
                <w:lang w:eastAsia="ru-RU"/>
              </w:rPr>
            </w:r>
          </w:p>
        </w:tc>
        <w:tc>
          <w:tcPr>
            <w:tcW w:w="4785" w:type="dxa"/>
            <w:textDirection w:val="lrTb"/>
            <w:noWrap w:val="false"/>
          </w:tcPr>
          <w:p>
            <w:pPr>
              <w:pStyle w:val="1067"/>
              <w:numPr>
                <w:ilvl w:val="1"/>
                <w:numId w:val="42"/>
              </w:numPr>
              <w:contextualSpacing w:val="0"/>
              <w:ind w:left="595" w:hanging="595"/>
              <w:jc w:val="both"/>
              <w:spacing w:after="240" w:line="240" w:lineRule="auto"/>
              <w:rPr>
                <w:rFonts w:ascii="Times New Roman" w:hAnsi="Times New Roman" w:eastAsia="Times New Roman" w:cs="Times New Roman"/>
                <w:sz w:val="28"/>
                <w:szCs w:val="28"/>
                <w:lang w:val="en-US"/>
              </w:rPr>
            </w:pPr>
            <w:r>
              <w:rPr>
                <w:rFonts w:ascii="Times New Roman" w:hAnsi="Times New Roman"/>
                <w:lang w:val="en-US"/>
              </w:rPr>
              <w:t xml:space="preserve">The PD must be destroyed in a manner that rules out the possibility of such PD being subsequently processed.</w:t>
            </w:r>
            <w:r>
              <w:rPr>
                <w:rFonts w:ascii="Times New Roman" w:hAnsi="Times New Roman" w:eastAsia="Times New Roman" w:cs="Times New Roman"/>
                <w:sz w:val="28"/>
                <w:szCs w:val="28"/>
                <w:lang w:val="en-US"/>
              </w:rPr>
            </w:r>
          </w:p>
        </w:tc>
      </w:tr>
      <w:tr>
        <w:trPr>
          <w:trHeight w:val="887"/>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rPr>
            </w:pPr>
            <w:r/>
            <w:bookmarkStart w:id="15" w:name="_Toc889179"/>
            <w:r/>
            <w:bookmarkStart w:id="16" w:name="_Toc27146060"/>
            <w:r>
              <w:rPr>
                <w:rFonts w:ascii="Times New Roman" w:hAnsi="Times New Roman" w:cs="Times New Roman"/>
                <w:b/>
              </w:rPr>
              <w:t xml:space="preserve">Права и обязанности субъектов персональных данных</w:t>
            </w:r>
            <w:bookmarkEnd w:id="15"/>
            <w:r/>
            <w:bookmarkEnd w:id="16"/>
            <w:r/>
            <w:r>
              <w:rPr>
                <w:rFonts w:ascii="Times New Roman" w:hAnsi="Times New Roman"/>
              </w:rPr>
            </w:r>
          </w:p>
        </w:tc>
        <w:tc>
          <w:tcPr>
            <w:tcW w:w="4785" w:type="dxa"/>
            <w:textDirection w:val="lrTb"/>
            <w:noWrap w:val="false"/>
          </w:tcPr>
          <w:p>
            <w:pPr>
              <w:pStyle w:val="1067"/>
              <w:numPr>
                <w:ilvl w:val="0"/>
                <w:numId w:val="42"/>
              </w:numPr>
              <w:contextualSpacing w:val="0"/>
              <w:ind w:left="567" w:hanging="567"/>
              <w:jc w:val="center"/>
              <w:keepNext/>
              <w:spacing w:before="120" w:after="240" w:line="240" w:lineRule="auto"/>
              <w:rPr>
                <w:rFonts w:ascii="Times New Roman" w:hAnsi="Times New Roman"/>
                <w:lang w:val="en-US"/>
              </w:rPr>
            </w:pPr>
            <w:r>
              <w:rPr>
                <w:rFonts w:ascii="Times New Roman" w:hAnsi="Times New Roman"/>
                <w:b/>
                <w:lang w:val="en-US"/>
              </w:rPr>
              <w:t xml:space="preserve">Rights and obligations of personal data subjects</w:t>
            </w:r>
            <w:r>
              <w:rPr>
                <w:rFonts w:ascii="Times New Roman" w:hAnsi="Times New Roman"/>
                <w:lang w:val="en-US"/>
              </w:rPr>
            </w:r>
          </w:p>
        </w:tc>
      </w:tr>
      <w:tr>
        <w:trPr>
          <w:trHeight w:val="284"/>
        </w:trPr>
        <w:tc>
          <w:tcPr>
            <w:tcW w:w="4785" w:type="dxa"/>
            <w:textDirection w:val="lrTb"/>
            <w:noWrap w:val="false"/>
          </w:tcPr>
          <w:p>
            <w:pPr>
              <w:pStyle w:val="1067"/>
              <w:numPr>
                <w:ilvl w:val="1"/>
                <w:numId w:val="42"/>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имеет право на получение информации, касающейся обработки Компанией его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том числе содержащей:</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3"/>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A personal data subject has a right to receive information concerning the processing of his/her PD by the Company, including the information containing:</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подтверждение факта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confirmation of the fact that the PD is processed;</w:t>
            </w:r>
            <w:r>
              <w:rPr>
                <w:rFonts w:ascii="Times New Roman" w:hAnsi="Times New Roman" w:eastAsia="Times New Roman" w:cs="Times New Roman"/>
                <w:lang w:val="en-US"/>
              </w:rPr>
            </w:r>
          </w:p>
        </w:tc>
      </w:tr>
      <w:tr>
        <w:trPr>
          <w:trHeight w:val="7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правовые основания и цели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legal grounds and purposes for processing the PD;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цели и применяемые Компанией способы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purposes and the methods the Company uses to process the PD; </w:t>
            </w:r>
            <w:r>
              <w:rPr>
                <w:rFonts w:ascii="Times New Roman" w:hAnsi="Times New Roman" w:eastAsia="Times New Roman" w:cs="Times New Roman"/>
                <w:lang w:val="en-US"/>
              </w:rPr>
            </w:r>
          </w:p>
        </w:tc>
      </w:tr>
      <w:tr>
        <w:trPr>
          <w:trHeight w:val="1174"/>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наименование и местонахождение Компании, сведения о лицах (за исключением работников Компании), которые имеют доступ к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или которым могут быть раскрыты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на основании договора с Компанией или на основании федерального закона; </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name and location of the Company, information about the persons (excluding the Company’s employees) who have access to the PD or about the persons to whom the PD may be disclosed pursuant to a contract with the Company or pursuant to a federal law; </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перечень обрабатываемых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источник их получения, если иной порядок представления таких данных не предусмотрен федеральным законом;</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list of PD processed relating to the personal data subject, and the source of the PD if a federal law does not stipulate a different procedure for providing such personal data;</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сроки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том числе сроки их хранения;</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timeframes for processing the PD, including the storage time for it;</w:t>
            </w:r>
            <w:r>
              <w:rPr>
                <w:rFonts w:ascii="Times New Roman" w:hAnsi="Times New Roman" w:eastAsia="Times New Roman" w:cs="Times New Roman"/>
                <w:lang w:val="en-US"/>
              </w:rPr>
            </w:r>
          </w:p>
        </w:tc>
      </w:tr>
      <w:tr>
        <w:trPr>
          <w:trHeight w:val="112"/>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порядок осуществления субъектом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прав, предусмотренных законодательством в области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procedure for the exercise of rights by the personal data subject as provided for by PD legislation;</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информацию об осуществленной или о предполагаемой трансграничной передаче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information about the cross-border transfer of PD which has been performed or which is contemplated;</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наименование (фамилию, имя, отчество) и адрес лица, осуществляющего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по поручению Компании, если обработка поручена или будет поручена такому лицу;</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the full name and address of a person processing the PD at the Company’s instruction if such person is/will be instructed to perform the processing;</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информацию о способах исполнения Компанией обязанностей, установленных статьей 18.1 Закона о персональных данных;</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lang w:val="en-US"/>
              </w:rPr>
            </w:pPr>
            <w:r>
              <w:rPr>
                <w:rFonts w:ascii="Times New Roman" w:hAnsi="Times New Roman"/>
                <w:lang w:val="en-US"/>
              </w:rPr>
              <w:t xml:space="preserve">information about the methods that the Company uses to perform the obligations stipulated by Article 18.1 of the Personal Data Law;</w:t>
            </w:r>
            <w:r>
              <w:rPr>
                <w:rFonts w:ascii="Times New Roman" w:hAnsi="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иные сведения, предусмотренные законодательством в области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other information for which the PD legislation provides.</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1"/>
                <w:numId w:val="42"/>
              </w:numPr>
              <w:contextualSpacing w:val="0"/>
              <w:ind w:left="595" w:hanging="595"/>
              <w:jc w:val="both"/>
              <w:spacing w:after="240" w:line="240" w:lineRule="auto"/>
              <w:rPr>
                <w:lang w:eastAsia="ru-RU"/>
              </w:rPr>
            </w:pPr>
            <w:r>
              <w:rPr>
                <w:rFonts w:ascii="Times New Roman" w:hAnsi="Times New Roman" w:eastAsia="Times New Roman" w:cs="Times New Roman"/>
                <w:lang w:eastAsia="ru-RU"/>
              </w:rPr>
              <w:t xml:space="preserve">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вправе требовать от Компании уточнения его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их блокирования или уничтожения в случае, если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являются неполными, устаревшими, неточными, незаконно </w:t>
            </w:r>
            <w:r>
              <w:rPr>
                <w:rFonts w:ascii="Times New Roman" w:hAnsi="Times New Roman" w:eastAsia="Times New Roman" w:cs="Times New Roman"/>
                <w:lang w:eastAsia="ru-RU"/>
              </w:rPr>
              <w:t xml:space="preserve">полученными или не являются необходимыми для заявленной цели обработки, а также принимать предусмотренные законом меры по защите своих прав.</w:t>
            </w:r>
            <w:r>
              <w:rPr>
                <w:lang w:eastAsia="ru-RU"/>
              </w:rPr>
            </w:r>
          </w:p>
        </w:tc>
        <w:tc>
          <w:tcPr>
            <w:tcW w:w="4785" w:type="dxa"/>
            <w:textDirection w:val="lrTb"/>
            <w:noWrap w:val="false"/>
          </w:tcPr>
          <w:p>
            <w:pPr>
              <w:pStyle w:val="1067"/>
              <w:numPr>
                <w:ilvl w:val="1"/>
                <w:numId w:val="43"/>
              </w:numPr>
              <w:contextualSpacing w:val="0"/>
              <w:ind w:left="595" w:hanging="595"/>
              <w:jc w:val="both"/>
              <w:spacing w:after="240" w:line="240" w:lineRule="auto"/>
              <w:rPr>
                <w:lang w:val="en-US"/>
              </w:rPr>
            </w:pPr>
            <w:r>
              <w:rPr>
                <w:rFonts w:ascii="Times New Roman" w:hAnsi="Times New Roman"/>
                <w:lang w:val="en-US"/>
              </w:rPr>
              <w:t xml:space="preserve">A data subject may demand that the Company adjust his or her personal data, block or destroy it if the personal data is incomplete, obsolete, inaccurate, was received unlawfully or is not necessary for the declared purpose of </w:t>
            </w:r>
            <w:r>
              <w:rPr>
                <w:rFonts w:ascii="Times New Roman" w:hAnsi="Times New Roman"/>
                <w:lang w:val="en-US"/>
              </w:rPr>
              <w:t xml:space="preserve">processing, and also take any measures provided for by legislation to protect his or her rights.</w:t>
            </w:r>
            <w:r>
              <w:rPr>
                <w:lang w:val="en-US"/>
              </w:rPr>
            </w:r>
          </w:p>
        </w:tc>
      </w:tr>
      <w:tr>
        <w:trPr>
          <w:trHeight w:val="1133"/>
        </w:trPr>
        <w:tc>
          <w:tcPr>
            <w:tcW w:w="4785" w:type="dxa"/>
            <w:textDirection w:val="lrTb"/>
            <w:noWrap w:val="false"/>
          </w:tcPr>
          <w:p>
            <w:pPr>
              <w:pStyle w:val="1067"/>
              <w:numPr>
                <w:ilvl w:val="1"/>
                <w:numId w:val="42"/>
              </w:numPr>
              <w:contextualSpacing w:val="0"/>
              <w:ind w:left="595" w:hanging="595"/>
              <w:jc w:val="both"/>
              <w:spacing w:after="240" w:line="240" w:lineRule="auto"/>
              <w:rPr>
                <w:lang w:eastAsia="ru-RU"/>
              </w:rPr>
            </w:pPr>
            <w:r>
              <w:rPr>
                <w:rFonts w:ascii="Times New Roman" w:hAnsi="Times New Roman" w:eastAsia="Times New Roman" w:cs="Times New Roman"/>
                <w:lang w:eastAsia="ru-RU"/>
              </w:rPr>
              <w:t xml:space="preserve">Если 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считает, что Компания осуществляет обработку его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 нарушением требований законодательства, 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вправе обжаловать действия или бездействие Компании в уполномоченный орган по защите прав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или в судебном порядке.</w:t>
            </w:r>
            <w:r>
              <w:rPr>
                <w:lang w:eastAsia="ru-RU"/>
              </w:rPr>
            </w:r>
          </w:p>
        </w:tc>
        <w:tc>
          <w:tcPr>
            <w:tcW w:w="4785" w:type="dxa"/>
            <w:textDirection w:val="lrTb"/>
            <w:noWrap w:val="false"/>
          </w:tcPr>
          <w:p>
            <w:pPr>
              <w:pStyle w:val="1067"/>
              <w:numPr>
                <w:ilvl w:val="1"/>
                <w:numId w:val="43"/>
              </w:numPr>
              <w:contextualSpacing w:val="0"/>
              <w:ind w:left="595" w:hanging="595"/>
              <w:jc w:val="both"/>
              <w:spacing w:after="240" w:line="240" w:lineRule="auto"/>
              <w:rPr>
                <w:lang w:val="en-US"/>
              </w:rPr>
            </w:pPr>
            <w:r>
              <w:rPr>
                <w:rFonts w:ascii="Times New Roman" w:hAnsi="Times New Roman"/>
                <w:lang w:val="en-US"/>
              </w:rPr>
              <w:t xml:space="preserve">If a personal data subject believes that the Company</w:t>
            </w:r>
            <w:r>
              <w:rPr>
                <w:rFonts w:ascii="Times New Roman" w:hAnsi="Times New Roman"/>
                <w:lang w:val="en-US"/>
              </w:rPr>
              <w:t xml:space="preserve"> processes his/her PD in violation of the legislation, the personal data subject is entitled to contest the Company’s actions or inaction at the competent authority responsible for protecting the rights of personal data subjects or under a court procedure.</w:t>
            </w:r>
            <w:r>
              <w:rPr>
                <w:lang w:val="en-US"/>
              </w:rPr>
            </w:r>
          </w:p>
        </w:tc>
      </w:tr>
      <w:tr>
        <w:trPr>
          <w:trHeight w:val="887"/>
        </w:trPr>
        <w:tc>
          <w:tcPr>
            <w:tcW w:w="4785" w:type="dxa"/>
            <w:textDirection w:val="lrTb"/>
            <w:noWrap w:val="false"/>
          </w:tcPr>
          <w:p>
            <w:pPr>
              <w:pStyle w:val="1067"/>
              <w:numPr>
                <w:ilvl w:val="1"/>
                <w:numId w:val="42"/>
              </w:numPr>
              <w:contextualSpacing w:val="0"/>
              <w:ind w:left="595" w:hanging="595"/>
              <w:jc w:val="both"/>
              <w:spacing w:after="240" w:line="240" w:lineRule="auto"/>
              <w:rPr>
                <w:lang w:eastAsia="ru-RU"/>
              </w:rPr>
            </w:pPr>
            <w:r>
              <w:rPr>
                <w:rFonts w:ascii="Times New Roman" w:hAnsi="Times New Roman" w:eastAsia="Times New Roman" w:cs="Times New Roman"/>
                <w:lang w:eastAsia="ru-RU"/>
              </w:rPr>
              <w:t xml:space="preserve">Право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на доступ к его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может быть ограничено в соответствии с федеральными законами Российской Федерации.</w:t>
            </w:r>
            <w:r>
              <w:rPr>
                <w:lang w:eastAsia="ru-RU"/>
              </w:rPr>
            </w:r>
          </w:p>
        </w:tc>
        <w:tc>
          <w:tcPr>
            <w:tcW w:w="4785" w:type="dxa"/>
            <w:textDirection w:val="lrTb"/>
            <w:noWrap w:val="false"/>
          </w:tcPr>
          <w:p>
            <w:pPr>
              <w:pStyle w:val="1067"/>
              <w:numPr>
                <w:ilvl w:val="1"/>
                <w:numId w:val="43"/>
              </w:numPr>
              <w:contextualSpacing w:val="0"/>
              <w:ind w:left="595" w:hanging="595"/>
              <w:jc w:val="both"/>
              <w:spacing w:after="240" w:line="240" w:lineRule="auto"/>
              <w:rPr>
                <w:lang w:val="en-US"/>
              </w:rPr>
            </w:pPr>
            <w:r>
              <w:rPr>
                <w:rFonts w:ascii="Times New Roman" w:hAnsi="Times New Roman"/>
                <w:lang w:val="en-US"/>
              </w:rPr>
              <w:t xml:space="preserve">The personal data subject’s right to access his/her PD can be limited in accordance with Russian federal laws.</w:t>
            </w:r>
            <w:r>
              <w:rPr>
                <w:lang w:val="en-US"/>
              </w:rPr>
            </w:r>
          </w:p>
        </w:tc>
      </w:tr>
      <w:tr>
        <w:trPr>
          <w:trHeight w:val="162"/>
        </w:trPr>
        <w:tc>
          <w:tcPr>
            <w:tcW w:w="4785" w:type="dxa"/>
            <w:textDirection w:val="lrTb"/>
            <w:noWrap w:val="false"/>
          </w:tcPr>
          <w:p>
            <w:pPr>
              <w:pStyle w:val="1067"/>
              <w:numPr>
                <w:ilvl w:val="1"/>
                <w:numId w:val="42"/>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Субъект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обязан:</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3"/>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A personal data subject is obliged:</w:t>
            </w:r>
            <w:r>
              <w:rPr>
                <w:rFonts w:ascii="Times New Roman" w:hAnsi="Times New Roman" w:eastAsia="Times New Roman" w:cs="Times New Roman"/>
                <w:lang w:val="en-US"/>
              </w:rPr>
            </w:r>
          </w:p>
        </w:tc>
      </w:tr>
      <w:tr>
        <w:trPr>
          <w:trHeight w:val="7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предоставлять Компании достоверные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to provide to the Company accurate PD;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своевременно сообщать Компании об изменениях и дополнениях своих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to promptly inform the Company of any changes or additions to his/her PD;</w:t>
            </w:r>
            <w:r>
              <w:rPr>
                <w:rFonts w:ascii="Times New Roman" w:hAnsi="Times New Roman" w:eastAsia="Times New Roman" w:cs="Times New Roman"/>
                <w:lang w:val="en-US"/>
              </w:rPr>
            </w:r>
          </w:p>
        </w:tc>
      </w:tr>
      <w:tr>
        <w:trPr>
          <w:trHeight w:val="686"/>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осуществлять свои права в соответствии с законом, иными нормативными правовыми актами и локальными нормативными актами Компании в области обработки и защиты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to exercise his/her rights in accordance with the law and other regulations and by-laws of the Company in the area of the processing and protection of PD;</w:t>
            </w:r>
            <w:r>
              <w:rPr>
                <w:rFonts w:ascii="Times New Roman" w:hAnsi="Times New Roman" w:eastAsia="Times New Roman" w:cs="Times New Roman"/>
                <w:lang w:val="en-US"/>
              </w:rPr>
            </w:r>
          </w:p>
        </w:tc>
      </w:tr>
      <w:tr>
        <w:trPr>
          <w:trHeight w:val="298"/>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исполнять иные обязанности, предусмотренные законом, иными нормативными правовыми актами и локальными нормативными актами Компании в области обработки и защиты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to perform any other obligations as provided for by the law and other regulatory instruments, and under internal regulatory documents of the Company in the area of the processing and protection of PD.</w:t>
            </w:r>
            <w:r>
              <w:rPr>
                <w:rFonts w:ascii="Times New Roman" w:hAnsi="Times New Roman" w:eastAsia="Times New Roman" w:cs="Times New Roman"/>
                <w:lang w:val="en-US"/>
              </w:rPr>
            </w:r>
          </w:p>
        </w:tc>
      </w:tr>
      <w:tr>
        <w:trPr>
          <w:trHeight w:val="493"/>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rPr>
            </w:pPr>
            <w:r/>
            <w:bookmarkStart w:id="17" w:name="_Toc889180"/>
            <w:r/>
            <w:bookmarkStart w:id="18" w:name="_Toc27146061"/>
            <w:r>
              <w:rPr>
                <w:rFonts w:ascii="Times New Roman" w:hAnsi="Times New Roman" w:cs="Times New Roman"/>
                <w:b/>
              </w:rPr>
              <w:t xml:space="preserve">Права</w:t>
            </w:r>
            <w:r>
              <w:rPr>
                <w:rFonts w:ascii="Times New Roman" w:hAnsi="Times New Roman" w:cs="Times New Roman"/>
                <w:b/>
                <w:lang w:val="en-US"/>
              </w:rPr>
              <w:t xml:space="preserve"> и </w:t>
            </w:r>
            <w:r>
              <w:rPr>
                <w:rFonts w:ascii="Times New Roman" w:hAnsi="Times New Roman" w:cs="Times New Roman"/>
                <w:b/>
                <w:lang w:val="en-US"/>
              </w:rPr>
              <w:t xml:space="preserve">обязанности</w:t>
            </w:r>
            <w:r>
              <w:rPr>
                <w:rFonts w:ascii="Times New Roman" w:hAnsi="Times New Roman" w:cs="Times New Roman"/>
                <w:b/>
                <w:lang w:val="en-US"/>
              </w:rPr>
              <w:t xml:space="preserve"> </w:t>
            </w:r>
            <w:r>
              <w:rPr>
                <w:rFonts w:ascii="Times New Roman" w:hAnsi="Times New Roman" w:cs="Times New Roman"/>
                <w:b/>
                <w:lang w:val="en-US"/>
              </w:rPr>
              <w:t xml:space="preserve">Компании</w:t>
            </w:r>
            <w:bookmarkEnd w:id="17"/>
            <w:r/>
            <w:bookmarkEnd w:id="18"/>
            <w:r/>
            <w:r>
              <w:rPr>
                <w:rFonts w:ascii="Times New Roman" w:hAnsi="Times New Roman"/>
              </w:rPr>
            </w:r>
          </w:p>
        </w:tc>
        <w:tc>
          <w:tcPr>
            <w:tcW w:w="4785" w:type="dxa"/>
            <w:textDirection w:val="lrTb"/>
            <w:noWrap w:val="false"/>
          </w:tcPr>
          <w:p>
            <w:pPr>
              <w:pStyle w:val="1067"/>
              <w:numPr>
                <w:ilvl w:val="0"/>
                <w:numId w:val="43"/>
              </w:numPr>
              <w:contextualSpacing w:val="0"/>
              <w:ind w:left="567" w:hanging="567"/>
              <w:jc w:val="center"/>
              <w:keepNext/>
              <w:spacing w:before="120" w:after="240" w:line="240" w:lineRule="auto"/>
              <w:rPr>
                <w:rFonts w:ascii="Times New Roman" w:hAnsi="Times New Roman"/>
                <w:lang w:val="en-US"/>
              </w:rPr>
            </w:pPr>
            <w:r>
              <w:rPr>
                <w:rFonts w:ascii="Times New Roman" w:hAnsi="Times New Roman"/>
                <w:b/>
                <w:lang w:val="en-US"/>
              </w:rPr>
              <w:t xml:space="preserve">Rights and obligations of the Company</w:t>
            </w:r>
            <w:r>
              <w:rPr>
                <w:rFonts w:ascii="Times New Roman" w:hAnsi="Times New Roman"/>
                <w:lang w:val="en-US"/>
              </w:rPr>
            </w:r>
          </w:p>
        </w:tc>
      </w:tr>
      <w:tr>
        <w:trPr>
          <w:trHeight w:val="80"/>
        </w:trPr>
        <w:tc>
          <w:tcPr>
            <w:tcW w:w="4785" w:type="dxa"/>
            <w:textDirection w:val="lrTb"/>
            <w:noWrap w:val="false"/>
          </w:tcPr>
          <w:p>
            <w:pPr>
              <w:pStyle w:val="1067"/>
              <w:numPr>
                <w:ilvl w:val="1"/>
                <w:numId w:val="43"/>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 осуществлении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Компания вправе:</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4"/>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When it processes </w:t>
            </w:r>
            <w:r>
              <w:rPr>
                <w:rFonts w:ascii="Times New Roman" w:hAnsi="Times New Roman"/>
                <w:lang w:val="en-US"/>
              </w:rPr>
              <w:t xml:space="preserve">the </w:t>
            </w:r>
            <w:r>
              <w:rPr>
                <w:rFonts w:ascii="Times New Roman" w:hAnsi="Times New Roman"/>
                <w:lang w:val="en-US"/>
              </w:rPr>
              <w:t xml:space="preserve">PD, the Company has the right to:</w:t>
            </w:r>
            <w:r>
              <w:rPr>
                <w:rFonts w:ascii="Times New Roman" w:hAnsi="Times New Roman" w:eastAsia="Times New Roman" w:cs="Times New Roman"/>
                <w:lang w:val="en-US"/>
              </w:rPr>
            </w:r>
          </w:p>
        </w:tc>
      </w:tr>
      <w:tr>
        <w:trPr>
          <w:trHeight w:val="707"/>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устанавливать правила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Компании, вносить изменения и дополнения в локальные нормативные акты, самостоятельно в рамках требований законодательства разрабатывать и применять формы документов, необходимых для исполнения обязанностей оператора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within the framework of the statutory requirements, establish rules for the processing of PD in the Company, amend and supplement the regulations, draw up and implement by itself templates of documents required to perform the obligations of an PD operator;</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осуществлять иные права, предусмотренные законом, иными нормативными правовыми актами и локальными нормативными актами Компании в области обработки и защиты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exercise any other rights as provided for by the law and other regulatory instruments, and under internal regulatory documents of the Company in the area of the processing and protection of PD.</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1"/>
                <w:numId w:val="43"/>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 осуществлении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Компания обязана:</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4"/>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When it processes </w:t>
            </w:r>
            <w:r>
              <w:rPr>
                <w:rFonts w:ascii="Times New Roman" w:hAnsi="Times New Roman"/>
                <w:lang w:val="en-US"/>
              </w:rPr>
              <w:t xml:space="preserve">the </w:t>
            </w:r>
            <w:r>
              <w:rPr>
                <w:rFonts w:ascii="Times New Roman" w:hAnsi="Times New Roman"/>
                <w:lang w:val="en-US"/>
              </w:rPr>
              <w:t xml:space="preserve">PD, the Company is obliged to:</w:t>
            </w:r>
            <w:r>
              <w:rPr>
                <w:rFonts w:ascii="Times New Roman" w:hAnsi="Times New Roman" w:eastAsia="Times New Roman" w:cs="Times New Roman"/>
                <w:lang w:val="en-US"/>
              </w:rPr>
            </w:r>
          </w:p>
        </w:tc>
      </w:tr>
      <w:tr>
        <w:trPr>
          <w:trHeight w:val="203"/>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обеспечивать обработку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исключительно в целях, для которых был осуществлен сбор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ensure processing of </w:t>
            </w:r>
            <w:r>
              <w:rPr>
                <w:rFonts w:ascii="Times New Roman" w:hAnsi="Times New Roman"/>
                <w:lang w:val="en-US"/>
              </w:rPr>
              <w:t xml:space="preserve">the </w:t>
            </w:r>
            <w:r>
              <w:rPr>
                <w:rFonts w:ascii="Times New Roman" w:hAnsi="Times New Roman"/>
                <w:lang w:val="en-US"/>
              </w:rPr>
              <w:t xml:space="preserve">PD solely for the purposes for which the PD was collected;</w:t>
            </w:r>
            <w:r>
              <w:rPr>
                <w:rFonts w:ascii="Times New Roman" w:hAnsi="Times New Roman" w:eastAsia="Times New Roman" w:cs="Times New Roman"/>
                <w:lang w:val="en-US"/>
              </w:rPr>
            </w:r>
          </w:p>
        </w:tc>
      </w:tr>
      <w:tr>
        <w:trPr>
          <w:trHeight w:val="459"/>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получать от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согласие на обработку его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том числе в письменной форме, в случаях, установленных законодательством</w:t>
            </w:r>
            <w:r>
              <w:rPr>
                <w:rFonts w:ascii="Times New Roman" w:hAnsi="Times New Roman" w:eastAsia="Times New Roman" w:cs="Times New Roman"/>
                <w:lang w:eastAsia="ru-RU"/>
              </w:rPr>
              <w:t xml:space="preserve">,</w:t>
            </w:r>
            <w:r>
              <w:t xml:space="preserve"> </w:t>
            </w:r>
            <w:r>
              <w:rPr>
                <w:rFonts w:ascii="Times New Roman" w:hAnsi="Times New Roman" w:eastAsia="Times New Roman" w:cs="Times New Roman"/>
                <w:lang w:eastAsia="ru-RU"/>
              </w:rPr>
              <w:t xml:space="preserve">и разъяснять субъекту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юридические последствия отказа</w:t>
            </w:r>
            <w:r>
              <w:rPr>
                <w:rFonts w:ascii="Times New Roman" w:hAnsi="Times New Roman" w:eastAsia="Times New Roman" w:cs="Times New Roman"/>
                <w:lang w:eastAsia="ru-RU"/>
              </w:rPr>
              <w:t xml:space="preserve"> </w:t>
            </w:r>
            <w:r>
              <w:rPr>
                <w:rFonts w:ascii="Times New Roman" w:hAnsi="Times New Roman" w:eastAsia="Times New Roman" w:cs="Times New Roman"/>
                <w:lang w:eastAsia="ru-RU"/>
              </w:rPr>
              <w:t xml:space="preserve">дать согласие на их обработку</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obtain consent from a personal data subject to the processing of his/her PD, including in writing in cases established by legislation</w:t>
            </w:r>
            <w:r>
              <w:rPr>
                <w:lang w:val="en-US"/>
              </w:rPr>
              <w:t xml:space="preserve"> </w:t>
            </w:r>
            <w:r>
              <w:rPr>
                <w:rFonts w:ascii="Times New Roman" w:hAnsi="Times New Roman"/>
                <w:lang w:val="en-US"/>
              </w:rPr>
              <w:t xml:space="preserve">and clarify to the personal data subject the legal implications of his/her refusal to give consent to such processing</w:t>
            </w:r>
            <w:r>
              <w:rPr>
                <w:rFonts w:ascii="Times New Roman" w:hAnsi="Times New Roman"/>
                <w:lang w:val="en-US"/>
              </w:rPr>
              <w:t xml:space="preserve">;</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защищать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от их неправомерного использования или утраты;</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protect </w:t>
            </w:r>
            <w:r>
              <w:rPr>
                <w:rFonts w:ascii="Times New Roman" w:hAnsi="Times New Roman"/>
                <w:lang w:val="en-US"/>
              </w:rPr>
              <w:t xml:space="preserve">the </w:t>
            </w:r>
            <w:r>
              <w:rPr>
                <w:rFonts w:ascii="Times New Roman" w:hAnsi="Times New Roman"/>
                <w:lang w:val="en-US"/>
              </w:rPr>
              <w:t xml:space="preserve">PD from unlawful use or loss;</w:t>
            </w:r>
            <w:r>
              <w:rPr>
                <w:rFonts w:ascii="Times New Roman" w:hAnsi="Times New Roman" w:eastAsia="Times New Roman" w:cs="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изменять, обновлять и уточнять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lang w:val="en-US"/>
              </w:rPr>
            </w:pPr>
            <w:r>
              <w:rPr>
                <w:rFonts w:ascii="Times New Roman" w:hAnsi="Times New Roman"/>
                <w:lang w:val="en-US"/>
              </w:rPr>
              <w:t xml:space="preserve">amend, renew and update the PD of personal data subjects;</w:t>
            </w:r>
            <w:r>
              <w:rPr>
                <w:rFonts w:ascii="Times New Roman" w:hAnsi="Times New Roman"/>
                <w:lang w:val="en-US"/>
              </w:rPr>
            </w:r>
          </w:p>
        </w:tc>
      </w:tr>
      <w:tr>
        <w:trPr>
          <w:trHeight w:val="80"/>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уведомлять уполномоченный орган по защите прав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об установлении факта неправомерной или случайной передачи (предоставления, распространения, доступа)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повлекшей нарушение прав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сроки, установленные законодательством Р</w:t>
            </w:r>
            <w:r>
              <w:rPr>
                <w:rFonts w:ascii="Times New Roman" w:hAnsi="Times New Roman" w:eastAsia="Times New Roman" w:cs="Times New Roman"/>
                <w:lang w:eastAsia="ru-RU"/>
              </w:rPr>
              <w:t xml:space="preserve">оссийской </w:t>
            </w:r>
            <w:r>
              <w:rPr>
                <w:rFonts w:ascii="Times New Roman" w:hAnsi="Times New Roman" w:eastAsia="Times New Roman" w:cs="Times New Roman"/>
                <w:lang w:eastAsia="ru-RU"/>
              </w:rPr>
              <w:t xml:space="preserve">Ф</w:t>
            </w:r>
            <w:r>
              <w:rPr>
                <w:rFonts w:ascii="Times New Roman" w:hAnsi="Times New Roman" w:eastAsia="Times New Roman" w:cs="Times New Roman"/>
                <w:lang w:eastAsia="ru-RU"/>
              </w:rPr>
              <w:t xml:space="preserve">едерации</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lang w:val="en-US"/>
              </w:rPr>
            </w:pPr>
            <w:r>
              <w:rPr>
                <w:rFonts w:ascii="Times New Roman" w:hAnsi="Times New Roman"/>
                <w:lang w:val="en-US"/>
              </w:rPr>
              <w:t xml:space="preserve">notify the authorized body responsible for protecting personal data subjects’ rights of a</w:t>
            </w:r>
            <w:r>
              <w:rPr>
                <w:rFonts w:ascii="Times New Roman" w:hAnsi="Times New Roman"/>
                <w:lang w:val="en-US"/>
              </w:rPr>
              <w:t xml:space="preserve">ny established fact when the PD were unlawfully or unintentionally transferred (provided, distributed or accessed), with such transfer leading to the violation of the rights of personal data subjects, within the timeframe stipulated by Russian legislation;</w:t>
            </w:r>
            <w:r>
              <w:rPr>
                <w:rFonts w:ascii="Times New Roman" w:hAnsi="Times New Roman"/>
                <w:lang w:val="en-US"/>
              </w:rPr>
            </w:r>
          </w:p>
        </w:tc>
      </w:tr>
      <w:tr>
        <w:trPr>
          <w:trHeight w:val="887"/>
        </w:trPr>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исполнять иные обязанности, предусмотренные законодательством Российской Федерации и локальными нормативными актами Компании в области обработки и защиты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0"/>
                <w:numId w:val="23"/>
              </w:numPr>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perform any other obligations as provided for by Russian legislation and internal regulatory documents of the Company in the area of the processing and protection of </w:t>
            </w:r>
            <w:r>
              <w:rPr>
                <w:rFonts w:ascii="Times New Roman" w:hAnsi="Times New Roman"/>
                <w:lang w:val="en-US"/>
              </w:rPr>
              <w:t xml:space="preserve">the </w:t>
            </w:r>
            <w:r>
              <w:rPr>
                <w:rFonts w:ascii="Times New Roman" w:hAnsi="Times New Roman"/>
                <w:lang w:val="en-US"/>
              </w:rPr>
              <w:t xml:space="preserve">PD.</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7"/>
              <w:numPr>
                <w:ilvl w:val="0"/>
                <w:numId w:val="16"/>
              </w:numPr>
              <w:contextualSpacing w:val="0"/>
              <w:ind w:left="567" w:hanging="567"/>
              <w:jc w:val="center"/>
              <w:keepNext/>
              <w:spacing w:before="120" w:after="240" w:line="240" w:lineRule="auto"/>
              <w:rPr>
                <w:rFonts w:ascii="Times New Roman" w:hAnsi="Times New Roman" w:cs="Times New Roman"/>
                <w:b/>
              </w:rPr>
            </w:pPr>
            <w:r/>
            <w:bookmarkStart w:id="19" w:name="_Toc889181"/>
            <w:r/>
            <w:bookmarkStart w:id="20" w:name="_Toc27146062"/>
            <w:r>
              <w:rPr>
                <w:rFonts w:ascii="Times New Roman" w:hAnsi="Times New Roman" w:cs="Times New Roman"/>
                <w:b/>
              </w:rPr>
              <w:t xml:space="preserve">Ответы на запросы субъектов персональных данных</w:t>
            </w:r>
            <w:bookmarkEnd w:id="19"/>
            <w:r/>
            <w:bookmarkEnd w:id="20"/>
            <w:r/>
            <w:r>
              <w:rPr>
                <w:rFonts w:ascii="Times New Roman" w:hAnsi="Times New Roman" w:cs="Times New Roman"/>
                <w:b/>
              </w:rPr>
            </w:r>
          </w:p>
        </w:tc>
        <w:tc>
          <w:tcPr>
            <w:tcW w:w="4785" w:type="dxa"/>
            <w:textDirection w:val="lrTb"/>
            <w:noWrap w:val="false"/>
          </w:tcPr>
          <w:p>
            <w:pPr>
              <w:pStyle w:val="1067"/>
              <w:numPr>
                <w:ilvl w:val="0"/>
                <w:numId w:val="44"/>
              </w:numPr>
              <w:contextualSpacing w:val="0"/>
              <w:ind w:left="567" w:hanging="567"/>
              <w:jc w:val="center"/>
              <w:keepNext/>
              <w:spacing w:before="120" w:after="240" w:line="240" w:lineRule="auto"/>
              <w:rPr>
                <w:rFonts w:ascii="Times New Roman" w:hAnsi="Times New Roman" w:cs="Times New Roman"/>
                <w:b/>
                <w:lang w:val="en-US"/>
              </w:rPr>
            </w:pPr>
            <w:r>
              <w:rPr>
                <w:rFonts w:ascii="Times New Roman" w:hAnsi="Times New Roman"/>
                <w:b/>
                <w:lang w:val="en-US"/>
              </w:rPr>
              <w:t xml:space="preserve">Responses to the requests of personal data subjects</w:t>
            </w:r>
            <w:r>
              <w:rPr>
                <w:rFonts w:ascii="Times New Roman" w:hAnsi="Times New Roman" w:cs="Times New Roman"/>
                <w:b/>
                <w:lang w:val="en-US"/>
              </w:rPr>
            </w:r>
          </w:p>
        </w:tc>
      </w:tr>
      <w:tr>
        <w:trPr>
          <w:trHeight w:val="565"/>
        </w:trPr>
        <w:tc>
          <w:tcPr>
            <w:tcW w:w="4785" w:type="dxa"/>
            <w:textDirection w:val="lrTb"/>
            <w:noWrap w:val="false"/>
          </w:tcPr>
          <w:p>
            <w:pPr>
              <w:pStyle w:val="1067"/>
              <w:numPr>
                <w:ilvl w:val="1"/>
                <w:numId w:val="44"/>
              </w:numPr>
              <w:contextualSpacing w:val="0"/>
              <w:ind w:left="595" w:hanging="595"/>
              <w:jc w:val="both"/>
              <w:spacing w:after="240" w:line="240" w:lineRule="auto"/>
              <w:rPr>
                <w:lang w:eastAsia="ru-RU"/>
              </w:rPr>
            </w:pPr>
            <w:r>
              <w:rPr>
                <w:rFonts w:ascii="Times New Roman" w:hAnsi="Times New Roman" w:eastAsia="Times New Roman" w:cs="Times New Roman"/>
                <w:lang w:eastAsia="ru-RU"/>
              </w:rPr>
              <w:t xml:space="preserve">Компания предоставляет субъекту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ответ на запрос о получении информации, касающейся обработки его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на основании соответствующего письменного заявления субъекта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lang w:eastAsia="ru-RU"/>
              </w:rPr>
            </w:r>
          </w:p>
        </w:tc>
        <w:tc>
          <w:tcPr>
            <w:tcW w:w="4785" w:type="dxa"/>
            <w:textDirection w:val="lrTb"/>
            <w:noWrap w:val="false"/>
          </w:tcPr>
          <w:p>
            <w:pPr>
              <w:pStyle w:val="1067"/>
              <w:numPr>
                <w:ilvl w:val="1"/>
                <w:numId w:val="45"/>
              </w:numPr>
              <w:contextualSpacing w:val="0"/>
              <w:ind w:left="595" w:hanging="595"/>
              <w:jc w:val="both"/>
              <w:spacing w:after="240" w:line="240" w:lineRule="auto"/>
              <w:rPr>
                <w:lang w:val="en-US"/>
              </w:rPr>
            </w:pPr>
            <w:r>
              <w:rPr>
                <w:rFonts w:ascii="Times New Roman" w:hAnsi="Times New Roman"/>
                <w:lang w:val="en-US"/>
              </w:rPr>
              <w:t xml:space="preserve">The Company will reply to the personal data subject to his/her inquiry regarding the information related to the processing of his/her PD based on the relevant written application of the personal data subject.</w:t>
            </w:r>
            <w:r>
              <w:rPr>
                <w:lang w:val="en-US"/>
              </w:rPr>
            </w:r>
          </w:p>
        </w:tc>
      </w:tr>
      <w:tr>
        <w:trPr>
          <w:trHeight w:val="80"/>
        </w:trPr>
        <w:tc>
          <w:tcPr>
            <w:tcW w:w="4785" w:type="dxa"/>
            <w:textDirection w:val="lrTb"/>
            <w:noWrap w:val="false"/>
          </w:tcPr>
          <w:p>
            <w:pPr>
              <w:pStyle w:val="1067"/>
              <w:numPr>
                <w:ilvl w:val="1"/>
                <w:numId w:val="44"/>
              </w:numPr>
              <w:contextualSpacing w:val="0"/>
              <w:ind w:left="595" w:hanging="595"/>
              <w:jc w:val="both"/>
              <w:spacing w:after="24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Адрес для обращений субъектов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 в Компанию по вопросам обработки </w:t>
            </w:r>
            <w:r>
              <w:rPr>
                <w:rFonts w:ascii="Times New Roman" w:hAnsi="Times New Roman" w:eastAsia="Times New Roman" w:cs="Times New Roman"/>
                <w:lang w:eastAsia="ru-RU"/>
              </w:rPr>
              <w:t xml:space="preserve">ПДн</w:t>
            </w:r>
            <w:r>
              <w:rPr>
                <w:rFonts w:ascii="Times New Roman" w:hAnsi="Times New Roman" w:eastAsia="Times New Roman" w:cs="Times New Roman"/>
                <w:lang w:eastAsia="ru-RU"/>
              </w:rPr>
              <w:t xml:space="preserve">:</w:t>
            </w:r>
            <w:r>
              <w:rPr>
                <w:rFonts w:ascii="Times New Roman" w:hAnsi="Times New Roman" w:eastAsia="Times New Roman" w:cs="Times New Roman"/>
                <w:lang w:eastAsia="ru-RU"/>
              </w:rPr>
            </w:r>
          </w:p>
        </w:tc>
        <w:tc>
          <w:tcPr>
            <w:tcW w:w="4785" w:type="dxa"/>
            <w:textDirection w:val="lrTb"/>
            <w:noWrap w:val="false"/>
          </w:tcPr>
          <w:p>
            <w:pPr>
              <w:pStyle w:val="1067"/>
              <w:numPr>
                <w:ilvl w:val="1"/>
                <w:numId w:val="45"/>
              </w:numPr>
              <w:contextualSpacing w:val="0"/>
              <w:ind w:left="595" w:hanging="595"/>
              <w:jc w:val="both"/>
              <w:spacing w:after="240" w:line="240" w:lineRule="auto"/>
              <w:rPr>
                <w:rFonts w:ascii="Times New Roman" w:hAnsi="Times New Roman" w:eastAsia="Times New Roman" w:cs="Times New Roman"/>
                <w:lang w:val="en-US"/>
              </w:rPr>
            </w:pPr>
            <w:r>
              <w:rPr>
                <w:rFonts w:ascii="Times New Roman" w:hAnsi="Times New Roman"/>
                <w:lang w:val="en-US"/>
              </w:rPr>
              <w:t xml:space="preserve">Please find below the address for applications of personal data subjects for the Company regarding the processing of </w:t>
            </w:r>
            <w:r>
              <w:rPr>
                <w:rFonts w:ascii="Times New Roman" w:hAnsi="Times New Roman"/>
                <w:lang w:val="en-US"/>
              </w:rPr>
              <w:t xml:space="preserve">the </w:t>
            </w:r>
            <w:r>
              <w:rPr>
                <w:rFonts w:ascii="Times New Roman" w:hAnsi="Times New Roman"/>
                <w:lang w:val="en-US"/>
              </w:rPr>
              <w:t xml:space="preserve">PD:</w:t>
            </w:r>
            <w:r>
              <w:rPr>
                <w:rFonts w:ascii="Times New Roman" w:hAnsi="Times New Roman" w:eastAsia="Times New Roman" w:cs="Times New Roman"/>
                <w:lang w:val="en-US"/>
              </w:rPr>
            </w:r>
          </w:p>
        </w:tc>
      </w:tr>
      <w:tr>
        <w:trPr>
          <w:trHeight w:val="887"/>
        </w:trPr>
        <w:tc>
          <w:tcPr>
            <w:tcW w:w="4785" w:type="dxa"/>
            <w:textDirection w:val="lrTb"/>
            <w:noWrap w:val="false"/>
          </w:tcPr>
          <w:p>
            <w:pPr>
              <w:pStyle w:val="1069"/>
              <w:numPr>
                <w:ilvl w:val="0"/>
                <w:numId w:val="20"/>
              </w:numPr>
              <w:spacing w:after="240" w:line="240" w:lineRule="auto"/>
              <w:rPr>
                <w:rFonts w:ascii="Times New Roman" w:hAnsi="Times New Roman"/>
              </w:rPr>
            </w:pPr>
            <w:r>
              <w:rPr>
                <w:rFonts w:ascii="Times New Roman" w:hAnsi="Times New Roman"/>
              </w:rPr>
              <w:t xml:space="preserve">109147, г. Москва, </w:t>
            </w:r>
            <w:r>
              <w:rPr>
                <w:rFonts w:ascii="Times New Roman" w:hAnsi="Times New Roman"/>
              </w:rPr>
              <w:t xml:space="preserve">вн</w:t>
            </w:r>
            <w:r>
              <w:rPr>
                <w:rFonts w:ascii="Times New Roman" w:hAnsi="Times New Roman"/>
              </w:rPr>
              <w:t xml:space="preserve">. тер. г. муниципальный округ Тага</w:t>
            </w:r>
            <w:r>
              <w:rPr>
                <w:rFonts w:ascii="Times New Roman" w:hAnsi="Times New Roman"/>
              </w:rPr>
              <w:t xml:space="preserve">нский, ул. Таганская, д. 17-23;</w:t>
            </w:r>
            <w:r>
              <w:rPr>
                <w:rFonts w:ascii="Times New Roman" w:hAnsi="Times New Roman"/>
              </w:rPr>
            </w:r>
          </w:p>
          <w:p>
            <w:pPr>
              <w:pStyle w:val="1069"/>
              <w:numPr>
                <w:ilvl w:val="0"/>
                <w:numId w:val="20"/>
              </w:numPr>
              <w:spacing w:after="240" w:line="240" w:lineRule="auto"/>
              <w:rPr>
                <w:rFonts w:ascii="Times New Roman" w:hAnsi="Times New Roman"/>
              </w:rPr>
            </w:pPr>
            <w:r>
              <w:rPr>
                <w:rFonts w:ascii="Times New Roman" w:hAnsi="Times New Roman"/>
              </w:rPr>
              <w:t xml:space="preserve">или по адресу электронной почты: </w:t>
            </w:r>
            <w:r>
              <w:rPr>
                <w:rFonts w:ascii="Times New Roman" w:hAnsi="Times New Roman"/>
              </w:rPr>
              <w:t xml:space="preserve">vopros@mayoly.com</w:t>
            </w:r>
            <w:r>
              <w:rPr>
                <w:rFonts w:ascii="Times New Roman" w:hAnsi="Times New Roman"/>
              </w:rPr>
              <w:t xml:space="preserve">.</w:t>
            </w:r>
            <w:r>
              <w:rPr>
                <w:rFonts w:ascii="Times New Roman" w:hAnsi="Times New Roman"/>
              </w:rPr>
            </w:r>
          </w:p>
        </w:tc>
        <w:tc>
          <w:tcPr>
            <w:tcW w:w="4785" w:type="dxa"/>
            <w:textDirection w:val="lrTb"/>
            <w:noWrap w:val="false"/>
          </w:tcPr>
          <w:p>
            <w:pPr>
              <w:pStyle w:val="1069"/>
              <w:numPr>
                <w:ilvl w:val="0"/>
                <w:numId w:val="20"/>
              </w:numPr>
              <w:spacing w:after="240" w:line="240" w:lineRule="auto"/>
              <w:rPr>
                <w:rFonts w:ascii="Times New Roman" w:hAnsi="Times New Roman"/>
                <w:szCs w:val="22"/>
                <w:lang w:val="en-US"/>
              </w:rPr>
            </w:pPr>
            <w:r>
              <w:rPr>
                <w:rFonts w:ascii="Times New Roman" w:hAnsi="Times New Roman"/>
                <w:lang w:val="en-US"/>
              </w:rPr>
              <w:t xml:space="preserve">109147</w:t>
            </w:r>
            <w:r>
              <w:rPr>
                <w:rFonts w:ascii="Times New Roman" w:hAnsi="Times New Roman"/>
                <w:lang w:val="en-US"/>
              </w:rPr>
              <w:t xml:space="preserve">, Moscow, int. territ. city municipal district </w:t>
            </w:r>
            <w:r>
              <w:rPr>
                <w:rFonts w:ascii="Times New Roman" w:hAnsi="Times New Roman"/>
                <w:lang w:val="en-US"/>
              </w:rPr>
              <w:t xml:space="preserve">Taganskiy</w:t>
            </w:r>
            <w:r>
              <w:rPr>
                <w:rFonts w:ascii="Times New Roman" w:hAnsi="Times New Roman"/>
                <w:lang w:val="en-US"/>
              </w:rPr>
              <w:t xml:space="preserve">, </w:t>
            </w:r>
            <w:r>
              <w:rPr>
                <w:rFonts w:ascii="Times New Roman" w:hAnsi="Times New Roman"/>
                <w:lang w:val="en-US"/>
              </w:rPr>
              <w:t xml:space="preserve">Taganskaya</w:t>
            </w:r>
            <w:r>
              <w:rPr>
                <w:rFonts w:ascii="Times New Roman" w:hAnsi="Times New Roman"/>
                <w:lang w:val="en-US"/>
              </w:rPr>
              <w:t xml:space="preserve"> street, 17-23</w:t>
            </w:r>
            <w:r>
              <w:rPr>
                <w:rFonts w:ascii="Times New Roman" w:hAnsi="Times New Roman"/>
                <w:lang w:val="en-US"/>
              </w:rPr>
              <w:t xml:space="preserve">;</w:t>
            </w:r>
            <w:r>
              <w:rPr>
                <w:rFonts w:ascii="Times New Roman" w:hAnsi="Times New Roman"/>
                <w:szCs w:val="22"/>
                <w:lang w:val="en-US"/>
              </w:rPr>
            </w:r>
          </w:p>
          <w:p>
            <w:pPr>
              <w:pStyle w:val="1069"/>
              <w:numPr>
                <w:ilvl w:val="0"/>
                <w:numId w:val="20"/>
              </w:numPr>
              <w:spacing w:after="240" w:line="240" w:lineRule="auto"/>
              <w:rPr>
                <w:rFonts w:ascii="Times New Roman" w:hAnsi="Times New Roman"/>
                <w:szCs w:val="22"/>
                <w:lang w:val="en-US"/>
              </w:rPr>
            </w:pPr>
            <w:r>
              <w:rPr>
                <w:rFonts w:ascii="Times New Roman" w:hAnsi="Times New Roman"/>
                <w:lang w:val="en-US"/>
              </w:rPr>
              <w:t xml:space="preserve">or</w:t>
            </w:r>
            <w:r>
              <w:rPr>
                <w:rFonts w:ascii="Times New Roman" w:hAnsi="Times New Roman"/>
                <w:lang w:val="en-US"/>
              </w:rPr>
              <w:t xml:space="preserve"> via email: </w:t>
            </w:r>
            <w:hyperlink r:id="rId13" w:tooltip="mailto:vopros@mayoly.com" w:history="1">
              <w:r>
                <w:rPr>
                  <w:rStyle w:val="1079"/>
                  <w:rFonts w:ascii="Times New Roman" w:hAnsi="Times New Roman"/>
                  <w:lang w:val="en-US"/>
                </w:rPr>
                <w:t xml:space="preserve">vopros@mayoly.com</w:t>
              </w:r>
            </w:hyperlink>
            <w:r>
              <w:rPr>
                <w:rFonts w:ascii="Times New Roman" w:hAnsi="Times New Roman"/>
                <w:szCs w:val="22"/>
                <w:lang w:val="en-US"/>
              </w:rPr>
              <w:t xml:space="preserve">.</w:t>
            </w:r>
            <w:bookmarkEnd w:id="0"/>
            <w:bookmarkEnd w:id="1"/>
            <w:r>
              <w:rPr>
                <w:rFonts w:ascii="Times New Roman" w:hAnsi="Times New Roman"/>
                <w:szCs w:val="22"/>
                <w:lang w:val="en-US"/>
              </w:rPr>
            </w:r>
          </w:p>
        </w:tc>
      </w:tr>
    </w:tbl>
    <w:p>
      <w:pPr>
        <w:rPr>
          <w:lang w:val="en-US" w:eastAsia="ru-RU"/>
        </w:rPr>
      </w:pPr>
      <w:r>
        <w:rPr>
          <w:lang w:val="en-US" w:eastAsia="ru-RU"/>
        </w:rPr>
      </w:r>
      <w:r>
        <w:rPr>
          <w:lang w:val="en-US" w:eastAsia="ru-RU"/>
        </w:rPr>
      </w:r>
    </w:p>
    <w:sectPr>
      <w:headerReference w:type="default" r:id="rId9"/>
      <w:headerReference w:type="first" r:id="rId10"/>
      <w:footerReference w:type="default" r:id="rId11"/>
      <w:footnotePr/>
      <w:endnotePr/>
      <w:type w:val="nextPage"/>
      <w:pgSz w:w="11906" w:h="16838" w:orient="portrait"/>
      <w:pgMar w:top="1134" w:right="850" w:bottom="1134" w:left="1418"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DIN-Bold">
    <w:panose1 w:val="020B0604030504040204"/>
  </w:font>
  <w:font w:name="Symbol">
    <w:panose1 w:val="05010000000000000000"/>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79614315"/>
      <w:docPartObj>
        <w:docPartGallery w:val="Page Numbers (Bottom of Page)"/>
        <w:docPartUnique w:val="true"/>
      </w:docPartObj>
      <w:rPr/>
    </w:sdtPr>
    <w:sdtContent>
      <w:p>
        <w:pPr>
          <w:pStyle w:val="1064"/>
          <w:jc w:val="right"/>
        </w:pPr>
        <w:r>
          <w:fldChar w:fldCharType="begin"/>
        </w:r>
        <w:r>
          <w:instrText xml:space="preserve">PAGE   \* MERGEFORMAT</w:instrText>
        </w:r>
        <w:r>
          <w:fldChar w:fldCharType="separate"/>
        </w:r>
        <w:r>
          <w:t xml:space="preserve">15</w:t>
        </w:r>
        <w:r>
          <w:fldChar w:fldCharType="end"/>
        </w:r>
        <w:r/>
      </w:p>
    </w:sdtContent>
  </w:sdt>
  <w:p>
    <w:pPr>
      <w:pStyle w:val="106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2693"/>
      <w:gridCol w:w="1809"/>
      <w:gridCol w:w="1706"/>
    </w:tblGrid>
    <w:tr>
      <w:trPr>
        <w:trHeight w:val="345"/>
      </w:trPr>
      <w:tc>
        <w:tcPr>
          <w:shd w:val="clear" w:color="auto" w:fill="auto"/>
          <w:tcW w:w="3148" w:type="dxa"/>
          <w:vMerge w:val="restart"/>
          <w:textDirection w:val="lrTb"/>
          <w:noWrap w:val="false"/>
        </w:tcPr>
        <w:p>
          <w:pPr>
            <w:pStyle w:val="1062"/>
            <w:contextualSpacing/>
            <w:rPr>
              <w:rFonts w:ascii="Times New Roman" w:hAnsi="Times New Roman" w:cs="Times New Roman"/>
              <w:sz w:val="20"/>
              <w:szCs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column">
                      <wp:posOffset>184150</wp:posOffset>
                    </wp:positionH>
                    <wp:positionV relativeFrom="paragraph">
                      <wp:posOffset>31750</wp:posOffset>
                    </wp:positionV>
                    <wp:extent cx="897255" cy="44894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66531" name="Graphic 1009766531"/>
                            <pic:cNvPicPr>
                              <a:picLocks noChangeAspect="1"/>
                            </pic:cNvPicPr>
                            <pic:nvPr/>
                          </pic:nvPicPr>
                          <pic:blipFill>
                            <a:blip r:embed="rId1"/>
                            <a:stretch/>
                          </pic:blipFill>
                          <pic:spPr bwMode="auto">
                            <a:xfrm>
                              <a:off x="0" y="0"/>
                              <a:ext cx="897254" cy="448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text;margin-left:14.50pt;mso-position-horizontal:absolute;mso-position-vertical-relative:text;margin-top:2.50pt;mso-position-vertical:absolute;width:70.65pt;height:35.35pt;mso-wrap-distance-left:9.00pt;mso-wrap-distance-top:0.00pt;mso-wrap-distance-right:9.00pt;mso-wrap-distance-bottom:0.00pt;" stroked="false">
                    <v:path textboxrect="0,0,0,0"/>
                    <v:imagedata r:id="rId1" o:title=""/>
                  </v:shape>
                </w:pict>
              </mc:Fallback>
            </mc:AlternateContent>
          </w:r>
          <w:r>
            <w:rPr>
              <w:rFonts w:ascii="Times New Roman" w:hAnsi="Times New Roman" w:cs="Times New Roman"/>
              <w:sz w:val="20"/>
              <w:szCs w:val="20"/>
            </w:rPr>
          </w:r>
        </w:p>
        <w:p>
          <w:pPr>
            <w:pStyle w:val="1062"/>
            <w:contextualSpacing/>
            <w:jc w:val="center"/>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p>
        <w:p>
          <w:pPr>
            <w:pStyle w:val="1062"/>
            <w:contextualSpacing/>
            <w:jc w:val="center"/>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p>
        <w:p>
          <w:pPr>
            <w:pStyle w:val="1062"/>
            <w:contextualSpacing/>
            <w:jc w:val="center"/>
            <w:rPr>
              <w:rFonts w:ascii="Times New Roman" w:hAnsi="Times New Roman" w:cs="Times New Roman"/>
              <w:b/>
              <w:sz w:val="20"/>
              <w:szCs w:val="20"/>
            </w:rPr>
          </w:pPr>
          <w:r>
            <w:rPr>
              <w:rFonts w:ascii="Times New Roman" w:hAnsi="Times New Roman" w:cs="Times New Roman"/>
              <w:b/>
              <w:sz w:val="20"/>
              <w:szCs w:val="20"/>
            </w:rPr>
            <w:t xml:space="preserve">ООО «</w:t>
          </w:r>
          <w:r>
            <w:rPr>
              <w:rFonts w:ascii="Times New Roman" w:hAnsi="Times New Roman" w:cs="Times New Roman"/>
              <w:b/>
              <w:sz w:val="20"/>
              <w:szCs w:val="20"/>
            </w:rPr>
            <w:t xml:space="preserve">МАОЙЛИ ФАРМА</w:t>
          </w:r>
          <w:r>
            <w:rPr>
              <w:rFonts w:ascii="Times New Roman" w:hAnsi="Times New Roman" w:cs="Times New Roman"/>
              <w:b/>
              <w:sz w:val="20"/>
              <w:szCs w:val="20"/>
            </w:rPr>
            <w:t xml:space="preserve">»</w:t>
          </w:r>
          <w:r>
            <w:rPr>
              <w:rFonts w:ascii="Times New Roman" w:hAnsi="Times New Roman" w:cs="Times New Roman"/>
              <w:b/>
              <w:sz w:val="20"/>
              <w:szCs w:val="20"/>
            </w:rPr>
          </w:r>
        </w:p>
      </w:tc>
      <w:tc>
        <w:tcPr>
          <w:shd w:val="clear" w:color="auto" w:fill="auto"/>
          <w:tcW w:w="2693" w:type="dxa"/>
          <w:vAlign w:val="center"/>
          <w:vMerge w:val="restart"/>
          <w:textDirection w:val="lrTb"/>
          <w:noWrap w:val="false"/>
        </w:tcPr>
        <w:p>
          <w:pPr>
            <w:pStyle w:val="1062"/>
            <w:jc w:val="center"/>
            <w:rPr>
              <w:rFonts w:ascii="Times New Roman" w:hAnsi="Times New Roman" w:cs="Times New Roman"/>
              <w:sz w:val="20"/>
              <w:szCs w:val="20"/>
            </w:rPr>
          </w:pPr>
          <w:r>
            <w:rPr>
              <w:rFonts w:ascii="Times New Roman" w:hAnsi="Times New Roman" w:cs="Times New Roman"/>
              <w:sz w:val="20"/>
              <w:szCs w:val="20"/>
            </w:rPr>
            <w:t xml:space="preserve">Локальная Стандартная Операционная Процедура</w:t>
          </w:r>
          <w:r>
            <w:rPr>
              <w:rFonts w:ascii="Times New Roman" w:hAnsi="Times New Roman" w:cs="Times New Roman"/>
              <w:sz w:val="20"/>
              <w:szCs w:val="20"/>
            </w:rPr>
          </w:r>
        </w:p>
      </w:tc>
      <w:tc>
        <w:tcPr>
          <w:gridSpan w:val="2"/>
          <w:shd w:val="clear" w:color="auto" w:fill="auto"/>
          <w:tcW w:w="3515" w:type="dxa"/>
          <w:vAlign w:val="center"/>
          <w:textDirection w:val="lrTb"/>
          <w:noWrap w:val="false"/>
        </w:tcPr>
        <w:p>
          <w:pPr>
            <w:pStyle w:val="1062"/>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r>
    <w:tr>
      <w:trPr>
        <w:trHeight w:val="627"/>
      </w:trPr>
      <w:tc>
        <w:tcPr>
          <w:shd w:val="clear" w:color="auto" w:fill="auto"/>
          <w:tcW w:w="3148" w:type="dxa"/>
          <w:vMerge w:val="continue"/>
          <w:textDirection w:val="lrTb"/>
          <w:noWrap w:val="false"/>
        </w:tcPr>
        <w:p>
          <w:pPr>
            <w:pStyle w:val="1062"/>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shd w:val="clear" w:color="auto" w:fill="auto"/>
          <w:tcW w:w="2693" w:type="dxa"/>
          <w:vAlign w:val="center"/>
          <w:vMerge w:val="continue"/>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caps/>
              <w:sz w:val="20"/>
              <w:szCs w:val="20"/>
            </w:rPr>
          </w:r>
          <w:r>
            <w:rPr>
              <w:rFonts w:ascii="Times New Roman" w:hAnsi="Times New Roman" w:cs="Times New Roman"/>
              <w:caps/>
              <w:sz w:val="20"/>
              <w:szCs w:val="20"/>
            </w:rPr>
          </w:r>
        </w:p>
      </w:tc>
      <w:tc>
        <w:tcPr>
          <w:shd w:val="clear" w:color="auto" w:fill="auto"/>
          <w:tcW w:w="1809"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Версия</w:t>
          </w:r>
          <w:r>
            <w:rPr>
              <w:rFonts w:ascii="Times New Roman" w:hAnsi="Times New Roman" w:cs="Times New Roman"/>
              <w:caps/>
              <w:sz w:val="20"/>
              <w:szCs w:val="20"/>
            </w:rPr>
          </w:r>
        </w:p>
      </w:tc>
      <w:tc>
        <w:tcPr>
          <w:shd w:val="clear" w:color="auto" w:fill="auto"/>
          <w:tcW w:w="1706"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03</w:t>
          </w:r>
          <w:r>
            <w:rPr>
              <w:rFonts w:ascii="Times New Roman" w:hAnsi="Times New Roman" w:cs="Times New Roman"/>
              <w:caps/>
              <w:sz w:val="20"/>
              <w:szCs w:val="20"/>
            </w:rPr>
          </w:r>
        </w:p>
      </w:tc>
    </w:tr>
    <w:tr>
      <w:trPr>
        <w:trHeight w:val="397"/>
      </w:trPr>
      <w:tc>
        <w:tcPr>
          <w:gridSpan w:val="2"/>
          <w:shd w:val="clear" w:color="auto" w:fill="auto"/>
          <w:tcW w:w="5841" w:type="dxa"/>
          <w:vAlign w:val="center"/>
          <w:textDirection w:val="lrTb"/>
          <w:noWrap w:val="false"/>
        </w:tcPr>
        <w:p>
          <w:pPr>
            <w:pStyle w:val="1062"/>
            <w:jc w:val="center"/>
            <w:rPr>
              <w:rFonts w:ascii="Times New Roman" w:hAnsi="Times New Roman" w:cs="Times New Roman"/>
              <w:bCs/>
              <w:color w:val="808080"/>
              <w:sz w:val="20"/>
              <w:szCs w:val="20"/>
            </w:rPr>
          </w:pPr>
          <w:r>
            <w:rPr>
              <w:rFonts w:ascii="Times New Roman" w:hAnsi="Times New Roman" w:eastAsia="DIN-Bold" w:cs="Times New Roman"/>
              <w:sz w:val="20"/>
              <w:szCs w:val="20"/>
            </w:rPr>
            <w:t xml:space="preserve">Политика обработки и защиты персональных данных</w:t>
          </w:r>
          <w:r>
            <w:rPr>
              <w:rFonts w:ascii="Times New Roman" w:hAnsi="Times New Roman" w:cs="Times New Roman"/>
              <w:bCs/>
              <w:color w:val="808080"/>
              <w:sz w:val="20"/>
              <w:szCs w:val="20"/>
            </w:rPr>
          </w:r>
        </w:p>
      </w:tc>
      <w:tc>
        <w:tcPr>
          <w:shd w:val="clear" w:color="auto" w:fill="auto"/>
          <w:tcW w:w="1809"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Дата введения</w:t>
          </w:r>
          <w:r>
            <w:rPr>
              <w:rFonts w:ascii="Times New Roman" w:hAnsi="Times New Roman" w:cs="Times New Roman"/>
              <w:caps/>
              <w:sz w:val="20"/>
              <w:szCs w:val="20"/>
            </w:rPr>
          </w:r>
        </w:p>
      </w:tc>
      <w:tc>
        <w:tcPr>
          <w:shd w:val="clear" w:color="auto" w:fill="auto"/>
          <w:tcW w:w="1706"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01</w:t>
          </w:r>
          <w:r>
            <w:rPr>
              <w:rFonts w:ascii="Times New Roman" w:hAnsi="Times New Roman" w:cs="Times New Roman"/>
              <w:sz w:val="20"/>
              <w:szCs w:val="20"/>
            </w:rPr>
            <w:t xml:space="preserve">.</w:t>
          </w:r>
          <w:r>
            <w:rPr>
              <w:rFonts w:ascii="Times New Roman" w:hAnsi="Times New Roman" w:cs="Times New Roman"/>
              <w:sz w:val="20"/>
              <w:szCs w:val="20"/>
            </w:rPr>
            <w:t xml:space="preserve">04</w:t>
          </w:r>
          <w:r>
            <w:rPr>
              <w:rFonts w:ascii="Times New Roman" w:hAnsi="Times New Roman" w:cs="Times New Roman"/>
              <w:sz w:val="20"/>
              <w:szCs w:val="20"/>
            </w:rPr>
            <w:t xml:space="preserve">.202</w:t>
          </w:r>
          <w:r>
            <w:rPr>
              <w:rFonts w:ascii="Times New Roman" w:hAnsi="Times New Roman" w:cs="Times New Roman"/>
              <w:sz w:val="20"/>
              <w:szCs w:val="20"/>
            </w:rPr>
            <w:t xml:space="preserve">4</w:t>
          </w:r>
          <w:r>
            <w:rPr>
              <w:rFonts w:ascii="Times New Roman" w:hAnsi="Times New Roman" w:cs="Times New Roman"/>
              <w:caps/>
              <w:sz w:val="20"/>
              <w:szCs w:val="20"/>
            </w:rPr>
          </w:r>
        </w:p>
      </w:tc>
    </w:tr>
  </w:tbl>
  <w:p>
    <w:pPr>
      <w:pStyle w:val="106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2693"/>
      <w:gridCol w:w="1809"/>
      <w:gridCol w:w="1706"/>
    </w:tblGrid>
    <w:tr>
      <w:trPr>
        <w:trHeight w:val="345"/>
      </w:trPr>
      <w:tc>
        <w:tcPr>
          <w:shd w:val="clear" w:color="auto" w:fill="auto"/>
          <w:tcW w:w="3148" w:type="dxa"/>
          <w:vMerge w:val="restart"/>
          <w:textDirection w:val="lrTb"/>
          <w:noWrap w:val="false"/>
        </w:tcPr>
        <w:p>
          <w:pPr>
            <w:pStyle w:val="1062"/>
            <w:contextualSpacing/>
            <w:rPr>
              <w:rFonts w:ascii="Times New Roman" w:hAnsi="Times New Roman" w:cs="Times New Roman"/>
              <w:sz w:val="20"/>
              <w:szCs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184150</wp:posOffset>
                    </wp:positionH>
                    <wp:positionV relativeFrom="paragraph">
                      <wp:posOffset>31750</wp:posOffset>
                    </wp:positionV>
                    <wp:extent cx="897255" cy="448945"/>
                    <wp:effectExtent l="0" t="0" r="0" b="0"/>
                    <wp:wrapNone/>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66531" name="Graphic 1009766531"/>
                            <pic:cNvPicPr>
                              <a:picLocks noChangeAspect="1"/>
                            </pic:cNvPicPr>
                            <pic:nvPr/>
                          </pic:nvPicPr>
                          <pic:blipFill>
                            <a:blip r:embed="rId1"/>
                            <a:stretch/>
                          </pic:blipFill>
                          <pic:spPr bwMode="auto">
                            <a:xfrm>
                              <a:off x="0" y="0"/>
                              <a:ext cx="897254" cy="448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text;margin-left:14.50pt;mso-position-horizontal:absolute;mso-position-vertical-relative:text;margin-top:2.50pt;mso-position-vertical:absolute;width:70.65pt;height:35.35pt;mso-wrap-distance-left:9.00pt;mso-wrap-distance-top:0.00pt;mso-wrap-distance-right:9.00pt;mso-wrap-distance-bottom:0.00pt;" stroked="false">
                    <v:path textboxrect="0,0,0,0"/>
                    <v:imagedata r:id="rId1" o:title=""/>
                  </v:shape>
                </w:pict>
              </mc:Fallback>
            </mc:AlternateContent>
          </w:r>
          <w:r>
            <w:rPr>
              <w:rFonts w:ascii="Times New Roman" w:hAnsi="Times New Roman" w:cs="Times New Roman"/>
              <w:sz w:val="20"/>
              <w:szCs w:val="20"/>
            </w:rPr>
          </w:r>
        </w:p>
        <w:p>
          <w:pPr>
            <w:pStyle w:val="1062"/>
            <w:contextualSpacing/>
            <w:jc w:val="center"/>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p>
        <w:p>
          <w:pPr>
            <w:pStyle w:val="1062"/>
            <w:contextualSpacing/>
            <w:jc w:val="center"/>
            <w:rPr>
              <w:rFonts w:ascii="Times New Roman" w:hAnsi="Times New Roman" w:cs="Times New Roman"/>
              <w:b/>
              <w:sz w:val="20"/>
              <w:szCs w:val="20"/>
            </w:rPr>
          </w:pPr>
          <w:r>
            <w:rPr>
              <w:rFonts w:ascii="Times New Roman" w:hAnsi="Times New Roman" w:cs="Times New Roman"/>
              <w:b/>
              <w:sz w:val="20"/>
              <w:szCs w:val="20"/>
            </w:rPr>
          </w:r>
          <w:r>
            <w:rPr>
              <w:rFonts w:ascii="Times New Roman" w:hAnsi="Times New Roman" w:cs="Times New Roman"/>
              <w:b/>
              <w:sz w:val="20"/>
              <w:szCs w:val="20"/>
            </w:rPr>
          </w:r>
        </w:p>
        <w:p>
          <w:pPr>
            <w:pStyle w:val="1062"/>
            <w:contextualSpacing/>
            <w:jc w:val="center"/>
            <w:rPr>
              <w:rFonts w:ascii="Times New Roman" w:hAnsi="Times New Roman" w:cs="Times New Roman"/>
              <w:b/>
              <w:sz w:val="20"/>
              <w:szCs w:val="20"/>
            </w:rPr>
          </w:pPr>
          <w:r>
            <w:rPr>
              <w:rFonts w:ascii="Times New Roman" w:hAnsi="Times New Roman" w:cs="Times New Roman"/>
              <w:b/>
              <w:sz w:val="20"/>
              <w:szCs w:val="20"/>
            </w:rPr>
            <w:t xml:space="preserve">ООО «</w:t>
          </w:r>
          <w:r>
            <w:rPr>
              <w:rFonts w:ascii="Times New Roman" w:hAnsi="Times New Roman" w:cs="Times New Roman"/>
              <w:b/>
              <w:sz w:val="20"/>
              <w:szCs w:val="20"/>
            </w:rPr>
            <w:t xml:space="preserve">МАОЙЛИ ФАРМА</w:t>
          </w:r>
          <w:r>
            <w:rPr>
              <w:rFonts w:ascii="Times New Roman" w:hAnsi="Times New Roman" w:cs="Times New Roman"/>
              <w:b/>
              <w:sz w:val="20"/>
              <w:szCs w:val="20"/>
            </w:rPr>
            <w:t xml:space="preserve">»</w:t>
          </w:r>
          <w:r>
            <w:rPr>
              <w:rFonts w:ascii="Times New Roman" w:hAnsi="Times New Roman" w:cs="Times New Roman"/>
              <w:b/>
              <w:sz w:val="20"/>
              <w:szCs w:val="20"/>
            </w:rPr>
          </w:r>
        </w:p>
      </w:tc>
      <w:tc>
        <w:tcPr>
          <w:shd w:val="clear" w:color="auto" w:fill="auto"/>
          <w:tcW w:w="2693" w:type="dxa"/>
          <w:vAlign w:val="center"/>
          <w:vMerge w:val="restart"/>
          <w:textDirection w:val="lrTb"/>
          <w:noWrap w:val="false"/>
        </w:tcPr>
        <w:p>
          <w:pPr>
            <w:pStyle w:val="1062"/>
            <w:jc w:val="center"/>
            <w:rPr>
              <w:rFonts w:ascii="Times New Roman" w:hAnsi="Times New Roman" w:cs="Times New Roman"/>
              <w:sz w:val="20"/>
              <w:szCs w:val="20"/>
            </w:rPr>
          </w:pPr>
          <w:r>
            <w:rPr>
              <w:rFonts w:ascii="Times New Roman" w:hAnsi="Times New Roman" w:cs="Times New Roman"/>
              <w:sz w:val="20"/>
              <w:szCs w:val="20"/>
            </w:rPr>
            <w:t xml:space="preserve">Локальная Стандартная Операционная Процедура</w:t>
          </w:r>
          <w:r>
            <w:rPr>
              <w:rFonts w:ascii="Times New Roman" w:hAnsi="Times New Roman" w:cs="Times New Roman"/>
              <w:sz w:val="20"/>
              <w:szCs w:val="20"/>
            </w:rPr>
          </w:r>
        </w:p>
      </w:tc>
      <w:tc>
        <w:tcPr>
          <w:gridSpan w:val="2"/>
          <w:shd w:val="clear" w:color="auto" w:fill="auto"/>
          <w:tcW w:w="3515" w:type="dxa"/>
          <w:vAlign w:val="center"/>
          <w:textDirection w:val="lrTb"/>
          <w:noWrap w:val="false"/>
        </w:tcPr>
        <w:p>
          <w:pPr>
            <w:pStyle w:val="1062"/>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r>
    <w:tr>
      <w:trPr>
        <w:trHeight w:val="627"/>
      </w:trPr>
      <w:tc>
        <w:tcPr>
          <w:shd w:val="clear" w:color="auto" w:fill="auto"/>
          <w:tcW w:w="3148" w:type="dxa"/>
          <w:vMerge w:val="continue"/>
          <w:textDirection w:val="lrTb"/>
          <w:noWrap w:val="false"/>
        </w:tcPr>
        <w:p>
          <w:pPr>
            <w:pStyle w:val="1062"/>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shd w:val="clear" w:color="auto" w:fill="auto"/>
          <w:tcW w:w="2693" w:type="dxa"/>
          <w:vAlign w:val="center"/>
          <w:vMerge w:val="continue"/>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caps/>
              <w:sz w:val="20"/>
              <w:szCs w:val="20"/>
            </w:rPr>
          </w:r>
          <w:r>
            <w:rPr>
              <w:rFonts w:ascii="Times New Roman" w:hAnsi="Times New Roman" w:cs="Times New Roman"/>
              <w:caps/>
              <w:sz w:val="20"/>
              <w:szCs w:val="20"/>
            </w:rPr>
          </w:r>
        </w:p>
      </w:tc>
      <w:tc>
        <w:tcPr>
          <w:shd w:val="clear" w:color="auto" w:fill="auto"/>
          <w:tcW w:w="1809"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Версия</w:t>
          </w:r>
          <w:r>
            <w:rPr>
              <w:rFonts w:ascii="Times New Roman" w:hAnsi="Times New Roman" w:cs="Times New Roman"/>
              <w:caps/>
              <w:sz w:val="20"/>
              <w:szCs w:val="20"/>
            </w:rPr>
          </w:r>
        </w:p>
      </w:tc>
      <w:tc>
        <w:tcPr>
          <w:shd w:val="clear" w:color="auto" w:fill="auto"/>
          <w:tcW w:w="1706"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03</w:t>
          </w:r>
          <w:r>
            <w:rPr>
              <w:rFonts w:ascii="Times New Roman" w:hAnsi="Times New Roman" w:cs="Times New Roman"/>
              <w:caps/>
              <w:sz w:val="20"/>
              <w:szCs w:val="20"/>
            </w:rPr>
          </w:r>
        </w:p>
      </w:tc>
    </w:tr>
    <w:tr>
      <w:trPr>
        <w:trHeight w:val="397"/>
      </w:trPr>
      <w:tc>
        <w:tcPr>
          <w:gridSpan w:val="2"/>
          <w:shd w:val="clear" w:color="auto" w:fill="auto"/>
          <w:tcW w:w="5841" w:type="dxa"/>
          <w:vAlign w:val="center"/>
          <w:textDirection w:val="lrTb"/>
          <w:noWrap w:val="false"/>
        </w:tcPr>
        <w:p>
          <w:pPr>
            <w:pStyle w:val="1062"/>
            <w:jc w:val="center"/>
            <w:rPr>
              <w:rFonts w:ascii="Times New Roman" w:hAnsi="Times New Roman" w:eastAsia="DIN-Bold" w:cs="Times New Roman"/>
              <w:sz w:val="20"/>
              <w:szCs w:val="20"/>
            </w:rPr>
          </w:pPr>
          <w:r>
            <w:rPr>
              <w:rFonts w:ascii="Times New Roman" w:hAnsi="Times New Roman" w:eastAsia="DIN-Bold" w:cs="Times New Roman"/>
              <w:sz w:val="20"/>
              <w:szCs w:val="20"/>
            </w:rPr>
            <w:t xml:space="preserve">Положение о предоставлении и использовании </w:t>
          </w:r>
          <w:r>
            <w:rPr>
              <w:rFonts w:ascii="Times New Roman" w:hAnsi="Times New Roman" w:eastAsia="DIN-Bold" w:cs="Times New Roman"/>
              <w:sz w:val="20"/>
              <w:szCs w:val="20"/>
            </w:rPr>
          </w:r>
        </w:p>
        <w:p>
          <w:pPr>
            <w:pStyle w:val="1062"/>
            <w:jc w:val="center"/>
            <w:rPr>
              <w:rFonts w:ascii="Times New Roman" w:hAnsi="Times New Roman" w:cs="Times New Roman"/>
              <w:bCs/>
              <w:color w:val="808080"/>
              <w:sz w:val="20"/>
              <w:szCs w:val="20"/>
            </w:rPr>
          </w:pPr>
          <w:r>
            <w:rPr>
              <w:rFonts w:ascii="Times New Roman" w:hAnsi="Times New Roman" w:eastAsia="DIN-Bold" w:cs="Times New Roman"/>
              <w:sz w:val="20"/>
              <w:szCs w:val="20"/>
            </w:rPr>
            <w:t xml:space="preserve">корпоративной мобильной связи</w:t>
          </w:r>
          <w:r>
            <w:rPr>
              <w:rFonts w:ascii="Times New Roman" w:hAnsi="Times New Roman" w:cs="Times New Roman"/>
              <w:bCs/>
              <w:color w:val="808080"/>
              <w:sz w:val="20"/>
              <w:szCs w:val="20"/>
            </w:rPr>
          </w:r>
        </w:p>
      </w:tc>
      <w:tc>
        <w:tcPr>
          <w:shd w:val="clear" w:color="auto" w:fill="auto"/>
          <w:tcW w:w="1809"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Дата введения</w:t>
          </w:r>
          <w:r>
            <w:rPr>
              <w:rFonts w:ascii="Times New Roman" w:hAnsi="Times New Roman" w:cs="Times New Roman"/>
              <w:caps/>
              <w:sz w:val="20"/>
              <w:szCs w:val="20"/>
            </w:rPr>
          </w:r>
        </w:p>
      </w:tc>
      <w:tc>
        <w:tcPr>
          <w:shd w:val="clear" w:color="auto" w:fill="auto"/>
          <w:tcW w:w="1706" w:type="dxa"/>
          <w:vAlign w:val="center"/>
          <w:textDirection w:val="lrTb"/>
          <w:noWrap w:val="false"/>
        </w:tcPr>
        <w:p>
          <w:pPr>
            <w:pStyle w:val="1062"/>
            <w:jc w:val="center"/>
            <w:rPr>
              <w:rFonts w:ascii="Times New Roman" w:hAnsi="Times New Roman" w:cs="Times New Roman"/>
              <w:caps/>
              <w:sz w:val="20"/>
              <w:szCs w:val="20"/>
            </w:rPr>
          </w:pPr>
          <w:r>
            <w:rPr>
              <w:rFonts w:ascii="Times New Roman" w:hAnsi="Times New Roman" w:cs="Times New Roman"/>
              <w:sz w:val="20"/>
              <w:szCs w:val="20"/>
            </w:rPr>
            <w:t xml:space="preserve">01</w:t>
          </w:r>
          <w:r>
            <w:rPr>
              <w:rFonts w:ascii="Times New Roman" w:hAnsi="Times New Roman" w:cs="Times New Roman"/>
              <w:sz w:val="20"/>
              <w:szCs w:val="20"/>
            </w:rPr>
            <w:t xml:space="preserve">.</w:t>
          </w:r>
          <w:r>
            <w:rPr>
              <w:rFonts w:ascii="Times New Roman" w:hAnsi="Times New Roman" w:cs="Times New Roman"/>
              <w:sz w:val="20"/>
              <w:szCs w:val="20"/>
            </w:rPr>
            <w:t xml:space="preserve">04</w:t>
          </w:r>
          <w:r>
            <w:rPr>
              <w:rFonts w:ascii="Times New Roman" w:hAnsi="Times New Roman" w:cs="Times New Roman"/>
              <w:sz w:val="20"/>
              <w:szCs w:val="20"/>
            </w:rPr>
            <w:t xml:space="preserve">.202</w:t>
          </w:r>
          <w:r>
            <w:rPr>
              <w:rFonts w:ascii="Times New Roman" w:hAnsi="Times New Roman" w:cs="Times New Roman"/>
              <w:sz w:val="20"/>
              <w:szCs w:val="20"/>
            </w:rPr>
            <w:t xml:space="preserve">4</w:t>
          </w:r>
          <w:r>
            <w:rPr>
              <w:rFonts w:ascii="Times New Roman" w:hAnsi="Times New Roman" w:cs="Times New Roman"/>
              <w:caps/>
              <w:sz w:val="20"/>
              <w:szCs w:val="20"/>
            </w:rPr>
          </w:r>
        </w:p>
      </w:tc>
    </w:tr>
  </w:tbl>
  <w:p>
    <w:pPr>
      <w:pStyle w:val="106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
    <w:multiLevelType w:val="hybridMultilevel"/>
    <w:lvl w:ilvl="0">
      <w:start w:val="5"/>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lang w:val="ru-RU"/>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2">
    <w:multiLevelType w:val="hybridMultilevel"/>
    <w:lvl w:ilvl="0">
      <w:start w:val="1"/>
      <w:numFmt w:val="bullet"/>
      <w:isLgl w:val="false"/>
      <w:suff w:val="tab"/>
      <w:lvlText w:val=""/>
      <w:lvlJc w:val="left"/>
      <w:pPr>
        <w:ind w:left="1495" w:hanging="360"/>
      </w:pPr>
      <w:rPr>
        <w:rFonts w:hint="default" w:ascii="Symbol" w:hAnsi="Symbol"/>
      </w:rPr>
    </w:lvl>
    <w:lvl w:ilvl="1">
      <w:start w:val="1"/>
      <w:numFmt w:val="bullet"/>
      <w:isLgl w:val="false"/>
      <w:suff w:val="tab"/>
      <w:lvlText w:val="o"/>
      <w:lvlJc w:val="left"/>
      <w:pPr>
        <w:ind w:left="2215" w:hanging="360"/>
      </w:pPr>
      <w:rPr>
        <w:rFonts w:hint="default" w:ascii="Courier New" w:hAnsi="Courier New" w:cs="Courier New"/>
      </w:rPr>
    </w:lvl>
    <w:lvl w:ilvl="2">
      <w:start w:val="1"/>
      <w:numFmt w:val="bullet"/>
      <w:isLgl w:val="false"/>
      <w:suff w:val="tab"/>
      <w:lvlText w:val=""/>
      <w:lvlJc w:val="left"/>
      <w:pPr>
        <w:ind w:left="2935" w:hanging="360"/>
      </w:pPr>
      <w:rPr>
        <w:rFonts w:hint="default" w:ascii="Wingdings" w:hAnsi="Wingdings"/>
      </w:rPr>
    </w:lvl>
    <w:lvl w:ilvl="3">
      <w:start w:val="1"/>
      <w:numFmt w:val="bullet"/>
      <w:isLgl w:val="false"/>
      <w:suff w:val="tab"/>
      <w:lvlText w:val=""/>
      <w:lvlJc w:val="left"/>
      <w:pPr>
        <w:ind w:left="3655" w:hanging="360"/>
      </w:pPr>
      <w:rPr>
        <w:rFonts w:hint="default" w:ascii="Symbol" w:hAnsi="Symbol"/>
      </w:rPr>
    </w:lvl>
    <w:lvl w:ilvl="4">
      <w:start w:val="1"/>
      <w:numFmt w:val="bullet"/>
      <w:isLgl w:val="false"/>
      <w:suff w:val="tab"/>
      <w:lvlText w:val="o"/>
      <w:lvlJc w:val="left"/>
      <w:pPr>
        <w:ind w:left="4375" w:hanging="360"/>
      </w:pPr>
      <w:rPr>
        <w:rFonts w:hint="default" w:ascii="Courier New" w:hAnsi="Courier New" w:cs="Courier New"/>
      </w:rPr>
    </w:lvl>
    <w:lvl w:ilvl="5">
      <w:start w:val="1"/>
      <w:numFmt w:val="bullet"/>
      <w:isLgl w:val="false"/>
      <w:suff w:val="tab"/>
      <w:lvlText w:val=""/>
      <w:lvlJc w:val="left"/>
      <w:pPr>
        <w:ind w:left="5095" w:hanging="360"/>
      </w:pPr>
      <w:rPr>
        <w:rFonts w:hint="default" w:ascii="Wingdings" w:hAnsi="Wingdings"/>
      </w:rPr>
    </w:lvl>
    <w:lvl w:ilvl="6">
      <w:start w:val="1"/>
      <w:numFmt w:val="bullet"/>
      <w:isLgl w:val="false"/>
      <w:suff w:val="tab"/>
      <w:lvlText w:val=""/>
      <w:lvlJc w:val="left"/>
      <w:pPr>
        <w:ind w:left="5815" w:hanging="360"/>
      </w:pPr>
      <w:rPr>
        <w:rFonts w:hint="default" w:ascii="Symbol" w:hAnsi="Symbol"/>
      </w:rPr>
    </w:lvl>
    <w:lvl w:ilvl="7">
      <w:start w:val="1"/>
      <w:numFmt w:val="bullet"/>
      <w:isLgl w:val="false"/>
      <w:suff w:val="tab"/>
      <w:lvlText w:val="o"/>
      <w:lvlJc w:val="left"/>
      <w:pPr>
        <w:ind w:left="6535" w:hanging="360"/>
      </w:pPr>
      <w:rPr>
        <w:rFonts w:hint="default" w:ascii="Courier New" w:hAnsi="Courier New" w:cs="Courier New"/>
      </w:rPr>
    </w:lvl>
    <w:lvl w:ilvl="8">
      <w:start w:val="1"/>
      <w:numFmt w:val="bullet"/>
      <w:isLgl w:val="false"/>
      <w:suff w:val="tab"/>
      <w:lvlText w:val=""/>
      <w:lvlJc w:val="left"/>
      <w:pPr>
        <w:ind w:left="7255"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b/>
      </w:rPr>
    </w:lvl>
    <w:lvl w:ilvl="1">
      <w:start w:val="1"/>
      <w:numFmt w:val="bullet"/>
      <w:isLgl w:val="false"/>
      <w:suff w:val="tab"/>
      <w:lvlText w:val=""/>
      <w:lvlJc w:val="left"/>
      <w:pPr>
        <w:ind w:left="1080" w:hanging="720"/>
      </w:pPr>
      <w:rPr>
        <w:rFonts w:hint="default" w:ascii="Symbol" w:hAnsi="Symbol"/>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4">
    <w:multiLevelType w:val="hybridMultilevel"/>
    <w:lvl w:ilvl="0">
      <w:start w:val="9"/>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1">
    <w:multiLevelType w:val="hybridMultilevel"/>
    <w:lvl w:ilvl="0">
      <w:start w:val="4"/>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12">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3">
    <w:multiLevelType w:val="hybridMultilevel"/>
    <w:lvl w:ilvl="0">
      <w:start w:val="1"/>
      <w:numFmt w:val="bullet"/>
      <w:isLgl w:val="false"/>
      <w:suff w:val="tab"/>
      <w:lvlText w:val=""/>
      <w:lvlJc w:val="left"/>
      <w:pPr>
        <w:ind w:left="1317" w:hanging="360"/>
      </w:pPr>
      <w:rPr>
        <w:rFonts w:hint="default" w:ascii="Symbol" w:hAnsi="Symbol"/>
      </w:rPr>
    </w:lvl>
    <w:lvl w:ilvl="1">
      <w:start w:val="1"/>
      <w:numFmt w:val="bullet"/>
      <w:isLgl w:val="false"/>
      <w:suff w:val="tab"/>
      <w:lvlText w:val="o"/>
      <w:lvlJc w:val="left"/>
      <w:pPr>
        <w:ind w:left="2037" w:hanging="360"/>
      </w:pPr>
      <w:rPr>
        <w:rFonts w:hint="default" w:ascii="Courier New" w:hAnsi="Courier New" w:cs="Courier New"/>
      </w:rPr>
    </w:lvl>
    <w:lvl w:ilvl="2">
      <w:start w:val="1"/>
      <w:numFmt w:val="bullet"/>
      <w:isLgl w:val="false"/>
      <w:suff w:val="tab"/>
      <w:lvlText w:val=""/>
      <w:lvlJc w:val="left"/>
      <w:pPr>
        <w:ind w:left="2757" w:hanging="360"/>
      </w:pPr>
      <w:rPr>
        <w:rFonts w:hint="default" w:ascii="Wingdings" w:hAnsi="Wingdings"/>
      </w:rPr>
    </w:lvl>
    <w:lvl w:ilvl="3">
      <w:start w:val="1"/>
      <w:numFmt w:val="bullet"/>
      <w:isLgl w:val="false"/>
      <w:suff w:val="tab"/>
      <w:lvlText w:val=""/>
      <w:lvlJc w:val="left"/>
      <w:pPr>
        <w:ind w:left="3477" w:hanging="360"/>
      </w:pPr>
      <w:rPr>
        <w:rFonts w:hint="default" w:ascii="Symbol" w:hAnsi="Symbol"/>
      </w:rPr>
    </w:lvl>
    <w:lvl w:ilvl="4">
      <w:start w:val="1"/>
      <w:numFmt w:val="bullet"/>
      <w:isLgl w:val="false"/>
      <w:suff w:val="tab"/>
      <w:lvlText w:val="o"/>
      <w:lvlJc w:val="left"/>
      <w:pPr>
        <w:ind w:left="4197" w:hanging="360"/>
      </w:pPr>
      <w:rPr>
        <w:rFonts w:hint="default" w:ascii="Courier New" w:hAnsi="Courier New" w:cs="Courier New"/>
      </w:rPr>
    </w:lvl>
    <w:lvl w:ilvl="5">
      <w:start w:val="1"/>
      <w:numFmt w:val="bullet"/>
      <w:isLgl w:val="false"/>
      <w:suff w:val="tab"/>
      <w:lvlText w:val=""/>
      <w:lvlJc w:val="left"/>
      <w:pPr>
        <w:ind w:left="4917" w:hanging="360"/>
      </w:pPr>
      <w:rPr>
        <w:rFonts w:hint="default" w:ascii="Wingdings" w:hAnsi="Wingdings"/>
      </w:rPr>
    </w:lvl>
    <w:lvl w:ilvl="6">
      <w:start w:val="1"/>
      <w:numFmt w:val="bullet"/>
      <w:isLgl w:val="false"/>
      <w:suff w:val="tab"/>
      <w:lvlText w:val=""/>
      <w:lvlJc w:val="left"/>
      <w:pPr>
        <w:ind w:left="5637" w:hanging="360"/>
      </w:pPr>
      <w:rPr>
        <w:rFonts w:hint="default" w:ascii="Symbol" w:hAnsi="Symbol"/>
      </w:rPr>
    </w:lvl>
    <w:lvl w:ilvl="7">
      <w:start w:val="1"/>
      <w:numFmt w:val="bullet"/>
      <w:isLgl w:val="false"/>
      <w:suff w:val="tab"/>
      <w:lvlText w:val="o"/>
      <w:lvlJc w:val="left"/>
      <w:pPr>
        <w:ind w:left="6357" w:hanging="360"/>
      </w:pPr>
      <w:rPr>
        <w:rFonts w:hint="default" w:ascii="Courier New" w:hAnsi="Courier New" w:cs="Courier New"/>
      </w:rPr>
    </w:lvl>
    <w:lvl w:ilvl="8">
      <w:start w:val="1"/>
      <w:numFmt w:val="bullet"/>
      <w:isLgl w:val="false"/>
      <w:suff w:val="tab"/>
      <w:lvlText w:val=""/>
      <w:lvlJc w:val="left"/>
      <w:pPr>
        <w:ind w:left="7077" w:hanging="360"/>
      </w:pPr>
      <w:rPr>
        <w:rFonts w:hint="default" w:ascii="Wingdings" w:hAnsi="Wingdings"/>
      </w:rPr>
    </w:lvl>
  </w:abstractNum>
  <w:abstractNum w:abstractNumId="14">
    <w:multiLevelType w:val="hybridMultilevel"/>
    <w:lvl w:ilvl="0">
      <w:start w:val="6"/>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15">
    <w:multiLevelType w:val="hybridMultilevel"/>
    <w:lvl w:ilvl="0">
      <w:start w:val="10"/>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rPr>
        <w:rFonts w:hint="default" w:ascii="Times New Roman" w:hAnsi="Times New Roman" w:cs="Times New Roman"/>
        <w:b/>
      </w:rPr>
    </w:lvl>
    <w:lvl w:ilvl="1">
      <w:start w:val="1"/>
      <w:numFmt w:val="bullet"/>
      <w:isLgl w:val="false"/>
      <w:suff w:val="tab"/>
      <w:lvlText w:val=""/>
      <w:lvlJc w:val="left"/>
      <w:pPr>
        <w:ind w:left="1080" w:hanging="720"/>
      </w:pPr>
      <w:rPr>
        <w:rFonts w:hint="default" w:ascii="Symbol" w:hAnsi="Symbol"/>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18">
    <w:multiLevelType w:val="hybridMultilevel"/>
    <w:lvl w:ilvl="0">
      <w:start w:val="1"/>
      <w:numFmt w:val="decimal"/>
      <w:isLgl w:val="false"/>
      <w:suff w:val="tab"/>
      <w:lvlText w:val="%1."/>
      <w:lvlJc w:val="left"/>
      <w:pPr>
        <w:ind w:left="720" w:hanging="360"/>
      </w:pPr>
      <w:rPr>
        <w:rFonts w:hint="default" w:ascii="Times New Roman" w:hAnsi="Times New Roman" w:cs="Times New Roman"/>
        <w:b/>
      </w:rPr>
    </w:lvl>
    <w:lvl w:ilvl="1">
      <w:start w:val="1"/>
      <w:numFmt w:val="bullet"/>
      <w:isLgl w:val="false"/>
      <w:suff w:val="tab"/>
      <w:lvlText w:val=""/>
      <w:lvlJc w:val="left"/>
      <w:pPr>
        <w:ind w:left="1080" w:hanging="720"/>
      </w:pPr>
      <w:rPr>
        <w:rFonts w:hint="default" w:ascii="Symbol" w:hAnsi="Symbol"/>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19">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rPr>
        <w:rFonts w:hint="default"/>
        <w:b w:val="0"/>
      </w:rPr>
    </w:lvl>
    <w:lvl w:ilvl="2">
      <w:start w:val="1"/>
      <w:numFmt w:val="decimal"/>
      <w:isLgl w:val="false"/>
      <w:suff w:val="tab"/>
      <w:lvlText w:val="%1.%2.%3."/>
      <w:lvlJc w:val="left"/>
      <w:pPr>
        <w:ind w:left="1224" w:hanging="504"/>
      </w:pPr>
      <w:rPr>
        <w:rFonts w:hint="default"/>
      </w:rPr>
    </w:lvl>
    <w:lvl w:ilvl="3">
      <w:start w:val="1"/>
      <w:numFmt w:val="decimal"/>
      <w:isLgl w:val="false"/>
      <w:suff w:val="tab"/>
      <w:lvlText w:val="%1.%2.%3.%4."/>
      <w:lvlJc w:val="left"/>
      <w:pPr>
        <w:ind w:left="1728" w:hanging="648"/>
      </w:pPr>
      <w:rPr>
        <w:rFonts w:hint="default"/>
        <w:b/>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2">
    <w:multiLevelType w:val="hybridMultilevel"/>
    <w:lvl w:ilvl="0">
      <w:start w:val="8"/>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23">
    <w:multiLevelType w:val="hybridMultilevel"/>
    <w:lvl w:ilvl="0">
      <w:start w:val="1"/>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24">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2"/>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eastAsia="Times New Roman" w:cs="Times New Roman"/>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tab"/>
      <w:lvlText w:val="%1."/>
      <w:lvlJc w:val="left"/>
      <w:pPr>
        <w:ind w:left="720" w:hanging="360"/>
      </w:pPr>
      <w:rPr>
        <w:rFonts w:hint="default" w:ascii="Times New Roman" w:hAnsi="Times New Roman" w:cs="Times New Roman"/>
        <w:b/>
      </w:rPr>
    </w:lvl>
    <w:lvl w:ilvl="1">
      <w:start w:val="1"/>
      <w:numFmt w:val="bullet"/>
      <w:isLgl w:val="false"/>
      <w:suff w:val="tab"/>
      <w:lvlText w:val=""/>
      <w:lvlJc w:val="left"/>
      <w:pPr>
        <w:ind w:left="1080" w:hanging="720"/>
      </w:pPr>
      <w:rPr>
        <w:rFonts w:hint="default" w:ascii="Symbol" w:hAnsi="Symbol"/>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5">
    <w:multiLevelType w:val="hybridMultilevel"/>
    <w:lvl w:ilvl="0">
      <w:start w:val="1"/>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36">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7">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8">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9">
    <w:multiLevelType w:val="hybridMultilevel"/>
    <w:lvl w:ilvl="0">
      <w:start w:val="7"/>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4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1">
    <w:multiLevelType w:val="hybridMultilevel"/>
    <w:lvl w:ilvl="0">
      <w:start w:val="3"/>
      <w:numFmt w:val="decimal"/>
      <w:isLgl w:val="false"/>
      <w:suff w:val="tab"/>
      <w:lvlText w:val="%1."/>
      <w:lvlJc w:val="left"/>
      <w:pPr>
        <w:ind w:left="720" w:hanging="360"/>
      </w:pPr>
      <w:rPr>
        <w:rFonts w:hint="default" w:ascii="Times New Roman" w:hAnsi="Times New Roman" w:cs="Times New Roman"/>
        <w:b/>
      </w:rPr>
    </w:lvl>
    <w:lvl w:ilvl="1">
      <w:start w:val="1"/>
      <w:numFmt w:val="decimal"/>
      <w:isLgl/>
      <w:suff w:val="tab"/>
      <w:lvlText w:val="%1.%2."/>
      <w:lvlJc w:val="left"/>
      <w:pPr>
        <w:ind w:left="1997" w:hanging="720"/>
      </w:pPr>
      <w:rPr>
        <w:rFonts w:hint="default" w:ascii="Times New Roman" w:hAnsi="Times New Roman" w:cs="Times New Roman"/>
        <w:sz w:val="22"/>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2160" w:hanging="180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520" w:hanging="2160"/>
      </w:pPr>
      <w:rPr>
        <w:rFonts w:hint="default"/>
      </w:rPr>
    </w:lvl>
  </w:abstractNum>
  <w:abstractNum w:abstractNumId="42">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rPr>
        <w:rFonts w:hint="default"/>
        <w:b w:val="0"/>
      </w:rPr>
    </w:lvl>
    <w:lvl w:ilvl="2">
      <w:start w:val="1"/>
      <w:numFmt w:val="decimal"/>
      <w:isLgl w:val="false"/>
      <w:suff w:val="tab"/>
      <w:lvlText w:val="%1.%2.%3."/>
      <w:lvlJc w:val="left"/>
      <w:pPr>
        <w:ind w:left="1224" w:hanging="504"/>
      </w:pPr>
      <w:rPr>
        <w:rFonts w:hint="default"/>
      </w:rPr>
    </w:lvl>
    <w:lvl w:ilvl="3">
      <w:start w:val="1"/>
      <w:numFmt w:val="decimal"/>
      <w:isLgl w:val="false"/>
      <w:suff w:val="tab"/>
      <w:lvlText w:val="%1.%2.%3.%4."/>
      <w:lvlJc w:val="left"/>
      <w:pPr>
        <w:ind w:left="1728" w:hanging="648"/>
      </w:pPr>
      <w:rPr>
        <w:rFonts w:hint="default"/>
        <w:b/>
      </w:rPr>
    </w:lvl>
    <w:lvl w:ilvl="4">
      <w:start w:val="1"/>
      <w:numFmt w:val="decimal"/>
      <w:isLgl w:val="false"/>
      <w:suff w:val="tab"/>
      <w:lvlText w:val="%1.%2.%3.%4.%5."/>
      <w:lvlJc w:val="left"/>
      <w:pPr>
        <w:ind w:left="2232" w:hanging="792"/>
      </w:pPr>
      <w:rPr>
        <w:rFonts w:hint="default"/>
      </w:rPr>
    </w:lvl>
    <w:lvl w:ilvl="5">
      <w:start w:val="1"/>
      <w:numFmt w:val="decimal"/>
      <w:isLgl w:val="false"/>
      <w:suff w:val="tab"/>
      <w:lvlText w:val="%1.%2.%3.%4.%5.%6."/>
      <w:lvlJc w:val="left"/>
      <w:pPr>
        <w:ind w:left="2736" w:hanging="936"/>
      </w:pPr>
      <w:rPr>
        <w:rFonts w:hint="default"/>
      </w:rPr>
    </w:lvl>
    <w:lvl w:ilvl="6">
      <w:start w:val="1"/>
      <w:numFmt w:val="decimal"/>
      <w:isLgl w:val="false"/>
      <w:suff w:val="tab"/>
      <w:lvlText w:val="%1.%2.%3.%4.%5.%6.%7."/>
      <w:lvlJc w:val="left"/>
      <w:pPr>
        <w:ind w:left="3240" w:hanging="1080"/>
      </w:pPr>
      <w:rPr>
        <w:rFonts w:hint="default"/>
      </w:rPr>
    </w:lvl>
    <w:lvl w:ilvl="7">
      <w:start w:val="1"/>
      <w:numFmt w:val="decimal"/>
      <w:isLgl w:val="false"/>
      <w:suff w:val="tab"/>
      <w:lvlText w:val="%1.%2.%3.%4.%5.%6.%7.%8."/>
      <w:lvlJc w:val="left"/>
      <w:pPr>
        <w:ind w:left="3744" w:hanging="1224"/>
      </w:pPr>
      <w:rPr>
        <w:rFonts w:hint="default"/>
      </w:rPr>
    </w:lvl>
    <w:lvl w:ilvl="8">
      <w:start w:val="1"/>
      <w:numFmt w:val="decimal"/>
      <w:isLgl w:val="false"/>
      <w:suff w:val="tab"/>
      <w:lvlText w:val="%1.%2.%3.%4.%5.%6.%7.%8.%9."/>
      <w:lvlJc w:val="left"/>
      <w:pPr>
        <w:ind w:left="4320" w:hanging="1440"/>
      </w:pPr>
      <w:rPr>
        <w:rFonts w:hint="default"/>
      </w:rPr>
    </w:lvl>
  </w:abstractNum>
  <w:abstractNum w:abstractNumId="43">
    <w:multiLevelType w:val="hybridMultilevel"/>
    <w:lvl w:ilvl="0">
      <w:start w:val="1"/>
      <w:numFmt w:val="decimal"/>
      <w:isLgl w:val="false"/>
      <w:suff w:val="tab"/>
      <w:lvlText w:val="%1."/>
      <w:lvlJc w:val="left"/>
      <w:pPr>
        <w:ind w:left="2204" w:hanging="360"/>
      </w:pPr>
      <w:rPr>
        <w:rFonts w:hint="default"/>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4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 w:numId="2">
    <w:abstractNumId w:val="34"/>
  </w:num>
  <w:num w:numId="3">
    <w:abstractNumId w:val="8"/>
  </w:num>
  <w:num w:numId="4">
    <w:abstractNumId w:val="6"/>
  </w:num>
  <w:num w:numId="5">
    <w:abstractNumId w:val="24"/>
  </w:num>
  <w:num w:numId="6">
    <w:abstractNumId w:val="10"/>
  </w:num>
  <w:num w:numId="7">
    <w:abstractNumId w:val="21"/>
  </w:num>
  <w:num w:numId="8">
    <w:abstractNumId w:val="36"/>
  </w:num>
  <w:num w:numId="9">
    <w:abstractNumId w:val="37"/>
  </w:num>
  <w:num w:numId="10">
    <w:abstractNumId w:val="43"/>
  </w:num>
  <w:num w:numId="11">
    <w:abstractNumId w:val="2"/>
  </w:num>
  <w:num w:numId="12">
    <w:abstractNumId w:val="40"/>
  </w:num>
  <w:num w:numId="13">
    <w:abstractNumId w:val="9"/>
  </w:num>
  <w:num w:numId="14">
    <w:abstractNumId w:val="7"/>
  </w:num>
  <w:num w:numId="15">
    <w:abstractNumId w:val="27"/>
  </w:num>
  <w:num w:numId="16">
    <w:abstractNumId w:val="30"/>
  </w:num>
  <w:num w:numId="17">
    <w:abstractNumId w:val="35"/>
  </w:num>
  <w:num w:numId="18">
    <w:abstractNumId w:val="12"/>
  </w:num>
  <w:num w:numId="19">
    <w:abstractNumId w:val="13"/>
  </w:num>
  <w:num w:numId="20">
    <w:abstractNumId w:val="25"/>
  </w:num>
  <w:num w:numId="21">
    <w:abstractNumId w:val="20"/>
  </w:num>
  <w:num w:numId="22">
    <w:abstractNumId w:val="5"/>
  </w:num>
  <w:num w:numId="23">
    <w:abstractNumId w:val="33"/>
  </w:num>
  <w:num w:numId="24">
    <w:abstractNumId w:val="32"/>
  </w:num>
  <w:num w:numId="25">
    <w:abstractNumId w:val="17"/>
  </w:num>
  <w:num w:numId="26">
    <w:abstractNumId w:val="3"/>
  </w:num>
  <w:num w:numId="27">
    <w:abstractNumId w:val="18"/>
  </w:num>
  <w:num w:numId="28">
    <w:abstractNumId w:val="28"/>
  </w:num>
  <w:num w:numId="29">
    <w:abstractNumId w:val="31"/>
  </w:num>
  <w:num w:numId="30">
    <w:abstractNumId w:val="16"/>
  </w:num>
  <w:num w:numId="31">
    <w:abstractNumId w:val="44"/>
  </w:num>
  <w:num w:numId="32">
    <w:abstractNumId w:val="29"/>
  </w:num>
  <w:num w:numId="33">
    <w:abstractNumId w:val="19"/>
  </w:num>
  <w:num w:numId="34">
    <w:abstractNumId w:val="42"/>
  </w:num>
  <w:num w:numId="35">
    <w:abstractNumId w:val="23"/>
  </w:num>
  <w:num w:numId="36">
    <w:abstractNumId w:val="38"/>
  </w:num>
  <w:num w:numId="37">
    <w:abstractNumId w:val="26"/>
  </w:num>
  <w:num w:numId="38">
    <w:abstractNumId w:val="41"/>
  </w:num>
  <w:num w:numId="39">
    <w:abstractNumId w:val="11"/>
  </w:num>
  <w:num w:numId="40">
    <w:abstractNumId w:val="1"/>
  </w:num>
  <w:num w:numId="41">
    <w:abstractNumId w:val="14"/>
  </w:num>
  <w:num w:numId="42">
    <w:abstractNumId w:val="39"/>
  </w:num>
  <w:num w:numId="43">
    <w:abstractNumId w:val="22"/>
  </w:num>
  <w:num w:numId="44">
    <w:abstractNumId w:val="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059"/>
    <w:link w:val="1058"/>
    <w:uiPriority w:val="9"/>
    <w:rPr>
      <w:rFonts w:ascii="Arial" w:hAnsi="Arial" w:eastAsia="Arial" w:cs="Arial"/>
      <w:sz w:val="40"/>
      <w:szCs w:val="40"/>
    </w:rPr>
  </w:style>
  <w:style w:type="paragraph" w:styleId="15">
    <w:name w:val="Heading 2"/>
    <w:basedOn w:val="1057"/>
    <w:next w:val="105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059"/>
    <w:link w:val="15"/>
    <w:uiPriority w:val="9"/>
    <w:rPr>
      <w:rFonts w:ascii="Arial" w:hAnsi="Arial" w:eastAsia="Arial" w:cs="Arial"/>
      <w:sz w:val="34"/>
    </w:rPr>
  </w:style>
  <w:style w:type="paragraph" w:styleId="17">
    <w:name w:val="Heading 3"/>
    <w:basedOn w:val="1057"/>
    <w:next w:val="105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059"/>
    <w:link w:val="17"/>
    <w:uiPriority w:val="9"/>
    <w:rPr>
      <w:rFonts w:ascii="Arial" w:hAnsi="Arial" w:eastAsia="Arial" w:cs="Arial"/>
      <w:sz w:val="30"/>
      <w:szCs w:val="30"/>
    </w:rPr>
  </w:style>
  <w:style w:type="paragraph" w:styleId="19">
    <w:name w:val="Heading 4"/>
    <w:basedOn w:val="1057"/>
    <w:next w:val="105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059"/>
    <w:link w:val="19"/>
    <w:uiPriority w:val="9"/>
    <w:rPr>
      <w:rFonts w:ascii="Arial" w:hAnsi="Arial" w:eastAsia="Arial" w:cs="Arial"/>
      <w:b/>
      <w:bCs/>
      <w:sz w:val="26"/>
      <w:szCs w:val="26"/>
    </w:rPr>
  </w:style>
  <w:style w:type="paragraph" w:styleId="21">
    <w:name w:val="Heading 5"/>
    <w:basedOn w:val="1057"/>
    <w:next w:val="105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059"/>
    <w:link w:val="21"/>
    <w:uiPriority w:val="9"/>
    <w:rPr>
      <w:rFonts w:ascii="Arial" w:hAnsi="Arial" w:eastAsia="Arial" w:cs="Arial"/>
      <w:b/>
      <w:bCs/>
      <w:sz w:val="24"/>
      <w:szCs w:val="24"/>
    </w:rPr>
  </w:style>
  <w:style w:type="paragraph" w:styleId="23">
    <w:name w:val="Heading 6"/>
    <w:basedOn w:val="1057"/>
    <w:next w:val="105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059"/>
    <w:link w:val="23"/>
    <w:uiPriority w:val="9"/>
    <w:rPr>
      <w:rFonts w:ascii="Arial" w:hAnsi="Arial" w:eastAsia="Arial" w:cs="Arial"/>
      <w:b/>
      <w:bCs/>
      <w:sz w:val="22"/>
      <w:szCs w:val="22"/>
    </w:rPr>
  </w:style>
  <w:style w:type="paragraph" w:styleId="25">
    <w:name w:val="Heading 7"/>
    <w:basedOn w:val="1057"/>
    <w:next w:val="105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059"/>
    <w:link w:val="25"/>
    <w:uiPriority w:val="9"/>
    <w:rPr>
      <w:rFonts w:ascii="Arial" w:hAnsi="Arial" w:eastAsia="Arial" w:cs="Arial"/>
      <w:b/>
      <w:bCs/>
      <w:i/>
      <w:iCs/>
      <w:sz w:val="22"/>
      <w:szCs w:val="22"/>
    </w:rPr>
  </w:style>
  <w:style w:type="paragraph" w:styleId="27">
    <w:name w:val="Heading 8"/>
    <w:basedOn w:val="1057"/>
    <w:next w:val="105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059"/>
    <w:link w:val="27"/>
    <w:uiPriority w:val="9"/>
    <w:rPr>
      <w:rFonts w:ascii="Arial" w:hAnsi="Arial" w:eastAsia="Arial" w:cs="Arial"/>
      <w:i/>
      <w:iCs/>
      <w:sz w:val="22"/>
      <w:szCs w:val="22"/>
    </w:rPr>
  </w:style>
  <w:style w:type="paragraph" w:styleId="29">
    <w:name w:val="Heading 9"/>
    <w:basedOn w:val="1057"/>
    <w:next w:val="105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059"/>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1057"/>
    <w:next w:val="1057"/>
    <w:link w:val="35"/>
    <w:uiPriority w:val="10"/>
    <w:qFormat/>
    <w:pPr>
      <w:contextualSpacing/>
      <w:spacing w:before="300" w:after="200"/>
    </w:pPr>
    <w:rPr>
      <w:sz w:val="48"/>
      <w:szCs w:val="48"/>
    </w:rPr>
  </w:style>
  <w:style w:type="character" w:styleId="35">
    <w:name w:val="Title Char"/>
    <w:basedOn w:val="1059"/>
    <w:link w:val="34"/>
    <w:uiPriority w:val="10"/>
    <w:rPr>
      <w:sz w:val="48"/>
      <w:szCs w:val="48"/>
    </w:rPr>
  </w:style>
  <w:style w:type="paragraph" w:styleId="36">
    <w:name w:val="Subtitle"/>
    <w:basedOn w:val="1057"/>
    <w:next w:val="1057"/>
    <w:link w:val="37"/>
    <w:uiPriority w:val="11"/>
    <w:qFormat/>
    <w:pPr>
      <w:spacing w:before="200" w:after="200"/>
    </w:pPr>
    <w:rPr>
      <w:sz w:val="24"/>
      <w:szCs w:val="24"/>
    </w:rPr>
  </w:style>
  <w:style w:type="character" w:styleId="37">
    <w:name w:val="Subtitle Char"/>
    <w:basedOn w:val="1059"/>
    <w:link w:val="36"/>
    <w:uiPriority w:val="11"/>
    <w:rPr>
      <w:sz w:val="24"/>
      <w:szCs w:val="24"/>
    </w:rPr>
  </w:style>
  <w:style w:type="paragraph" w:styleId="38">
    <w:name w:val="Quote"/>
    <w:basedOn w:val="1057"/>
    <w:next w:val="1057"/>
    <w:link w:val="39"/>
    <w:uiPriority w:val="29"/>
    <w:qFormat/>
    <w:pPr>
      <w:ind w:left="720" w:right="720"/>
    </w:pPr>
    <w:rPr>
      <w:i/>
    </w:rPr>
  </w:style>
  <w:style w:type="character" w:styleId="39">
    <w:name w:val="Quote Char"/>
    <w:link w:val="38"/>
    <w:uiPriority w:val="29"/>
    <w:rPr>
      <w:i/>
    </w:rPr>
  </w:style>
  <w:style w:type="paragraph" w:styleId="40">
    <w:name w:val="Intense Quote"/>
    <w:basedOn w:val="1057"/>
    <w:next w:val="105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1059"/>
    <w:link w:val="1062"/>
    <w:uiPriority w:val="99"/>
  </w:style>
  <w:style w:type="character" w:styleId="45">
    <w:name w:val="Footer Char"/>
    <w:basedOn w:val="1059"/>
    <w:link w:val="1064"/>
    <w:uiPriority w:val="99"/>
  </w:style>
  <w:style w:type="paragraph" w:styleId="46">
    <w:name w:val="Caption"/>
    <w:basedOn w:val="1057"/>
    <w:next w:val="1057"/>
    <w:uiPriority w:val="35"/>
    <w:semiHidden/>
    <w:unhideWhenUsed/>
    <w:qFormat/>
    <w:pPr>
      <w:spacing w:line="276" w:lineRule="auto"/>
    </w:pPr>
    <w:rPr>
      <w:b/>
      <w:bCs/>
      <w:color w:val="4f81bd" w:themeColor="accent1"/>
      <w:sz w:val="18"/>
      <w:szCs w:val="18"/>
    </w:rPr>
  </w:style>
  <w:style w:type="character" w:styleId="47">
    <w:name w:val="Caption Char"/>
    <w:basedOn w:val="46"/>
    <w:link w:val="1064"/>
    <w:uiPriority w:val="99"/>
  </w:style>
  <w:style w:type="table" w:styleId="49">
    <w:name w:val="Table Grid Light"/>
    <w:basedOn w:val="10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10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10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10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10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10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10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10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10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10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10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10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10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10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10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10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10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10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10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10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10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10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10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10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10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10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10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10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106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106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106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106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106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106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10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10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10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10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10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10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10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10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106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10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106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10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106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106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10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106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106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106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106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106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106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10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106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106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106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106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106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106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10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106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106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106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106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106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106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10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106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10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106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10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106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106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10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106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106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106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106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106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106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10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106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106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106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106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106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106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10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106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106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106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106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106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106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10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106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106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106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106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106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106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10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10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10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10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10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10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10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106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106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106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106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106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106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106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106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10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10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10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10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10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10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105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059"/>
    <w:uiPriority w:val="99"/>
    <w:unhideWhenUsed/>
    <w:rPr>
      <w:vertAlign w:val="superscript"/>
    </w:rPr>
  </w:style>
  <w:style w:type="paragraph" w:styleId="178">
    <w:name w:val="endnote text"/>
    <w:basedOn w:val="105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059"/>
    <w:uiPriority w:val="99"/>
    <w:semiHidden/>
    <w:unhideWhenUsed/>
    <w:rPr>
      <w:vertAlign w:val="superscript"/>
    </w:rPr>
  </w:style>
  <w:style w:type="paragraph" w:styleId="182">
    <w:name w:val="toc 2"/>
    <w:basedOn w:val="1057"/>
    <w:next w:val="1057"/>
    <w:uiPriority w:val="39"/>
    <w:unhideWhenUsed/>
    <w:pPr>
      <w:ind w:left="283" w:right="0" w:firstLine="0"/>
      <w:spacing w:after="57"/>
    </w:pPr>
  </w:style>
  <w:style w:type="paragraph" w:styleId="183">
    <w:name w:val="toc 3"/>
    <w:basedOn w:val="1057"/>
    <w:next w:val="1057"/>
    <w:uiPriority w:val="39"/>
    <w:unhideWhenUsed/>
    <w:pPr>
      <w:ind w:left="567" w:right="0" w:firstLine="0"/>
      <w:spacing w:after="57"/>
    </w:pPr>
  </w:style>
  <w:style w:type="paragraph" w:styleId="184">
    <w:name w:val="toc 4"/>
    <w:basedOn w:val="1057"/>
    <w:next w:val="1057"/>
    <w:uiPriority w:val="39"/>
    <w:unhideWhenUsed/>
    <w:pPr>
      <w:ind w:left="850" w:right="0" w:firstLine="0"/>
      <w:spacing w:after="57"/>
    </w:pPr>
  </w:style>
  <w:style w:type="paragraph" w:styleId="185">
    <w:name w:val="toc 5"/>
    <w:basedOn w:val="1057"/>
    <w:next w:val="1057"/>
    <w:uiPriority w:val="39"/>
    <w:unhideWhenUsed/>
    <w:pPr>
      <w:ind w:left="1134" w:right="0" w:firstLine="0"/>
      <w:spacing w:after="57"/>
    </w:pPr>
  </w:style>
  <w:style w:type="paragraph" w:styleId="186">
    <w:name w:val="toc 6"/>
    <w:basedOn w:val="1057"/>
    <w:next w:val="1057"/>
    <w:uiPriority w:val="39"/>
    <w:unhideWhenUsed/>
    <w:pPr>
      <w:ind w:left="1417" w:right="0" w:firstLine="0"/>
      <w:spacing w:after="57"/>
    </w:pPr>
  </w:style>
  <w:style w:type="paragraph" w:styleId="187">
    <w:name w:val="toc 7"/>
    <w:basedOn w:val="1057"/>
    <w:next w:val="1057"/>
    <w:uiPriority w:val="39"/>
    <w:unhideWhenUsed/>
    <w:pPr>
      <w:ind w:left="1701" w:right="0" w:firstLine="0"/>
      <w:spacing w:after="57"/>
    </w:pPr>
  </w:style>
  <w:style w:type="paragraph" w:styleId="188">
    <w:name w:val="toc 8"/>
    <w:basedOn w:val="1057"/>
    <w:next w:val="1057"/>
    <w:uiPriority w:val="39"/>
    <w:unhideWhenUsed/>
    <w:pPr>
      <w:ind w:left="1984" w:right="0" w:firstLine="0"/>
      <w:spacing w:after="57"/>
    </w:pPr>
  </w:style>
  <w:style w:type="paragraph" w:styleId="189">
    <w:name w:val="toc 9"/>
    <w:basedOn w:val="1057"/>
    <w:next w:val="1057"/>
    <w:uiPriority w:val="39"/>
    <w:unhideWhenUsed/>
    <w:pPr>
      <w:ind w:left="2268" w:right="0" w:firstLine="0"/>
      <w:spacing w:after="57"/>
    </w:pPr>
  </w:style>
  <w:style w:type="paragraph" w:styleId="191">
    <w:name w:val="table of figures"/>
    <w:basedOn w:val="1057"/>
    <w:next w:val="1057"/>
    <w:uiPriority w:val="99"/>
    <w:unhideWhenUsed/>
    <w:pPr>
      <w:spacing w:after="0" w:afterAutospacing="0"/>
    </w:pPr>
  </w:style>
  <w:style w:type="paragraph" w:styleId="1057" w:default="1">
    <w:name w:val="Normal"/>
    <w:qFormat/>
  </w:style>
  <w:style w:type="paragraph" w:styleId="1058">
    <w:name w:val="Heading 1"/>
    <w:basedOn w:val="1057"/>
    <w:next w:val="1057"/>
    <w:link w:val="1066"/>
    <w:qFormat/>
    <w:pPr>
      <w:keepLines/>
      <w:keepNext/>
      <w:spacing w:before="240" w:after="240" w:line="276" w:lineRule="auto"/>
      <w:outlineLvl w:val="0"/>
    </w:pPr>
    <w:rPr>
      <w:rFonts w:ascii="Times New Roman" w:hAnsi="Times New Roman" w:eastAsiaTheme="majorEastAsia" w:cstheme="majorBidi"/>
      <w:b/>
      <w:bCs/>
      <w:color w:val="000000" w:themeColor="text1"/>
      <w:sz w:val="28"/>
      <w:szCs w:val="28"/>
    </w:rPr>
  </w:style>
  <w:style w:type="character" w:styleId="1059" w:default="1">
    <w:name w:val="Default Paragraph Font"/>
    <w:uiPriority w:val="1"/>
    <w:semiHidden/>
    <w:unhideWhenUsed/>
  </w:style>
  <w:style w:type="table" w:styleId="1060" w:default="1">
    <w:name w:val="Normal Table"/>
    <w:uiPriority w:val="99"/>
    <w:semiHidden/>
    <w:unhideWhenUsed/>
    <w:tblPr>
      <w:tblInd w:w="0" w:type="dxa"/>
      <w:tblCellMar>
        <w:left w:w="108" w:type="dxa"/>
        <w:top w:w="0" w:type="dxa"/>
        <w:right w:w="108" w:type="dxa"/>
        <w:bottom w:w="0" w:type="dxa"/>
      </w:tblCellMar>
    </w:tblPr>
  </w:style>
  <w:style w:type="numbering" w:styleId="1061" w:default="1">
    <w:name w:val="No List"/>
    <w:uiPriority w:val="99"/>
    <w:semiHidden/>
    <w:unhideWhenUsed/>
  </w:style>
  <w:style w:type="paragraph" w:styleId="1062">
    <w:name w:val="Header"/>
    <w:basedOn w:val="1057"/>
    <w:link w:val="1063"/>
    <w:uiPriority w:val="99"/>
    <w:unhideWhenUsed/>
    <w:pPr>
      <w:spacing w:after="0" w:line="240" w:lineRule="auto"/>
      <w:tabs>
        <w:tab w:val="center" w:pos="4677" w:leader="none"/>
        <w:tab w:val="right" w:pos="9355" w:leader="none"/>
      </w:tabs>
    </w:pPr>
  </w:style>
  <w:style w:type="character" w:styleId="1063" w:customStyle="1">
    <w:name w:val="Верхний колонтитул Знак"/>
    <w:basedOn w:val="1059"/>
    <w:link w:val="1062"/>
    <w:uiPriority w:val="99"/>
  </w:style>
  <w:style w:type="paragraph" w:styleId="1064">
    <w:name w:val="Footer"/>
    <w:basedOn w:val="1057"/>
    <w:link w:val="1065"/>
    <w:uiPriority w:val="99"/>
    <w:unhideWhenUsed/>
    <w:pPr>
      <w:spacing w:after="0" w:line="240" w:lineRule="auto"/>
      <w:tabs>
        <w:tab w:val="center" w:pos="4677" w:leader="none"/>
        <w:tab w:val="right" w:pos="9355" w:leader="none"/>
      </w:tabs>
    </w:pPr>
  </w:style>
  <w:style w:type="character" w:styleId="1065" w:customStyle="1">
    <w:name w:val="Нижний колонтитул Знак"/>
    <w:basedOn w:val="1059"/>
    <w:link w:val="1064"/>
    <w:uiPriority w:val="99"/>
  </w:style>
  <w:style w:type="character" w:styleId="1066" w:customStyle="1">
    <w:name w:val="Заголовок 1 Знак"/>
    <w:basedOn w:val="1059"/>
    <w:link w:val="1058"/>
    <w:rPr>
      <w:rFonts w:ascii="Times New Roman" w:hAnsi="Times New Roman" w:eastAsiaTheme="majorEastAsia" w:cstheme="majorBidi"/>
      <w:b/>
      <w:bCs/>
      <w:color w:val="000000" w:themeColor="text1"/>
      <w:sz w:val="28"/>
      <w:szCs w:val="28"/>
    </w:rPr>
  </w:style>
  <w:style w:type="paragraph" w:styleId="1067">
    <w:name w:val="List Paragraph"/>
    <w:basedOn w:val="1057"/>
    <w:link w:val="1068"/>
    <w:uiPriority w:val="34"/>
    <w:qFormat/>
    <w:pPr>
      <w:contextualSpacing/>
      <w:ind w:left="720"/>
      <w:spacing w:after="200" w:line="276" w:lineRule="auto"/>
    </w:pPr>
  </w:style>
  <w:style w:type="character" w:styleId="1068" w:customStyle="1">
    <w:name w:val="Абзац списка Знак"/>
    <w:link w:val="1067"/>
    <w:uiPriority w:val="34"/>
  </w:style>
  <w:style w:type="paragraph" w:styleId="1069" w:customStyle="1">
    <w:name w:val="Список - нумерованный 1"/>
    <w:basedOn w:val="1057"/>
    <w:pPr>
      <w:jc w:val="both"/>
      <w:spacing w:after="0" w:line="360" w:lineRule="auto"/>
    </w:pPr>
    <w:rPr>
      <w:rFonts w:ascii="Arial" w:hAnsi="Arial" w:eastAsia="Times New Roman" w:cs="Times New Roman"/>
      <w:szCs w:val="20"/>
      <w:lang w:eastAsia="ru-RU"/>
    </w:rPr>
  </w:style>
  <w:style w:type="paragraph" w:styleId="1070">
    <w:name w:val="annotation text"/>
    <w:basedOn w:val="1057"/>
    <w:link w:val="1071"/>
    <w:uiPriority w:val="99"/>
    <w:semiHidden/>
    <w:unhideWhenUsed/>
    <w:pPr>
      <w:spacing w:line="240" w:lineRule="auto"/>
    </w:pPr>
    <w:rPr>
      <w:sz w:val="20"/>
      <w:szCs w:val="20"/>
    </w:rPr>
  </w:style>
  <w:style w:type="character" w:styleId="1071" w:customStyle="1">
    <w:name w:val="Текст примечания Знак"/>
    <w:basedOn w:val="1059"/>
    <w:link w:val="1070"/>
    <w:uiPriority w:val="99"/>
    <w:semiHidden/>
    <w:rPr>
      <w:sz w:val="20"/>
      <w:szCs w:val="20"/>
    </w:rPr>
  </w:style>
  <w:style w:type="paragraph" w:styleId="1072">
    <w:name w:val="annotation subject"/>
    <w:basedOn w:val="1070"/>
    <w:next w:val="1070"/>
    <w:link w:val="1073"/>
    <w:uiPriority w:val="99"/>
    <w:semiHidden/>
    <w:unhideWhenUsed/>
    <w:rPr>
      <w:b/>
      <w:bCs/>
    </w:rPr>
  </w:style>
  <w:style w:type="character" w:styleId="1073" w:customStyle="1">
    <w:name w:val="Тема примечания Знак"/>
    <w:basedOn w:val="1071"/>
    <w:link w:val="1072"/>
    <w:uiPriority w:val="99"/>
    <w:semiHidden/>
    <w:rPr>
      <w:b/>
      <w:bCs/>
      <w:sz w:val="20"/>
      <w:szCs w:val="20"/>
    </w:rPr>
  </w:style>
  <w:style w:type="paragraph" w:styleId="1074">
    <w:name w:val="Balloon Text"/>
    <w:basedOn w:val="1057"/>
    <w:link w:val="1075"/>
    <w:uiPriority w:val="99"/>
    <w:semiHidden/>
    <w:unhideWhenUsed/>
    <w:pPr>
      <w:spacing w:after="0" w:line="240" w:lineRule="auto"/>
    </w:pPr>
    <w:rPr>
      <w:rFonts w:ascii="Segoe UI" w:hAnsi="Segoe UI" w:cs="Segoe UI"/>
      <w:sz w:val="18"/>
      <w:szCs w:val="18"/>
    </w:rPr>
  </w:style>
  <w:style w:type="character" w:styleId="1075" w:customStyle="1">
    <w:name w:val="Текст выноски Знак"/>
    <w:basedOn w:val="1059"/>
    <w:link w:val="1074"/>
    <w:uiPriority w:val="99"/>
    <w:semiHidden/>
    <w:rPr>
      <w:rFonts w:ascii="Segoe UI" w:hAnsi="Segoe UI" w:cs="Segoe UI"/>
      <w:sz w:val="18"/>
      <w:szCs w:val="18"/>
    </w:rPr>
  </w:style>
  <w:style w:type="character" w:styleId="1076">
    <w:name w:val="annotation reference"/>
    <w:basedOn w:val="1059"/>
    <w:uiPriority w:val="99"/>
    <w:semiHidden/>
    <w:unhideWhenUsed/>
    <w:rPr>
      <w:sz w:val="16"/>
      <w:szCs w:val="16"/>
    </w:rPr>
  </w:style>
  <w:style w:type="paragraph" w:styleId="1077">
    <w:name w:val="TOC Heading"/>
    <w:basedOn w:val="1058"/>
    <w:next w:val="1057"/>
    <w:uiPriority w:val="39"/>
    <w:unhideWhenUsed/>
    <w:qFormat/>
    <w:pPr>
      <w:spacing w:after="0" w:line="259" w:lineRule="auto"/>
      <w:outlineLvl w:val="9"/>
    </w:pPr>
    <w:rPr>
      <w:rFonts w:asciiTheme="majorHAnsi" w:hAnsiTheme="majorHAnsi"/>
      <w:b w:val="0"/>
      <w:bCs w:val="0"/>
      <w:color w:val="2e74b5" w:themeColor="accent1" w:themeShade="BF"/>
      <w:sz w:val="32"/>
      <w:szCs w:val="32"/>
      <w:lang w:eastAsia="ru-RU"/>
    </w:rPr>
  </w:style>
  <w:style w:type="paragraph" w:styleId="1078">
    <w:name w:val="toc 1"/>
    <w:basedOn w:val="1057"/>
    <w:next w:val="1057"/>
    <w:uiPriority w:val="39"/>
    <w:unhideWhenUsed/>
    <w:pPr>
      <w:spacing w:after="100"/>
    </w:pPr>
  </w:style>
  <w:style w:type="character" w:styleId="1079">
    <w:name w:val="Hyperlink"/>
    <w:basedOn w:val="1059"/>
    <w:uiPriority w:val="99"/>
    <w:unhideWhenUsed/>
    <w:rPr>
      <w:color w:val="0563c1" w:themeColor="hyperlink"/>
      <w:u w:val="single"/>
    </w:rPr>
  </w:style>
  <w:style w:type="table" w:styleId="1080" w:customStyle="1">
    <w:name w:val="Сетка таблицы1"/>
    <w:basedOn w:val="1060"/>
    <w:next w:val="108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1">
    <w:name w:val="Table Grid"/>
    <w:basedOn w:val="106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hyperlink" Target="mailto:vopros@mayoly.com"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88B5-94AD-4D7D-98D7-79439245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Kostina Anastasija</dc:creator>
  <cp:lastModifiedBy>Иван Можеев</cp:lastModifiedBy>
  <cp:revision>28</cp:revision>
  <dcterms:created xsi:type="dcterms:W3CDTF">2022-09-09T17:27:00Z</dcterms:created>
  <dcterms:modified xsi:type="dcterms:W3CDTF">2024-05-15T10:06:09Z</dcterms:modified>
</cp:coreProperties>
</file>